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3F7F" w14:paraId="6786D772" w14:textId="77777777" w:rsidTr="008863A6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6773FB91" w14:textId="3FA362BB" w:rsidR="006C3F7F" w:rsidRPr="008517B5" w:rsidRDefault="0095565E" w:rsidP="005241A2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 w:rsidR="005241A2">
              <w:tab/>
            </w:r>
          </w:p>
        </w:tc>
      </w:tr>
      <w:tr w:rsidR="0089638D" w14:paraId="25A28A6F" w14:textId="77777777" w:rsidTr="008863A6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3B040E3A" w14:textId="086EE9A5" w:rsidR="0089638D" w:rsidRDefault="00CE2C4E" w:rsidP="00FA009E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F8D0A5E" w14:textId="1B26D558" w:rsidR="005241A2" w:rsidRDefault="00144F5B" w:rsidP="00E62942">
      <w:pPr>
        <w:pStyle w:val="Bezmezer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054A38B" wp14:editId="53A88043">
                <wp:simplePos x="0" y="0"/>
                <wp:positionH relativeFrom="margin">
                  <wp:posOffset>3640455</wp:posOffset>
                </wp:positionH>
                <wp:positionV relativeFrom="page">
                  <wp:posOffset>715645</wp:posOffset>
                </wp:positionV>
                <wp:extent cx="2432050" cy="333375"/>
                <wp:effectExtent l="0" t="0" r="0" b="0"/>
                <wp:wrapNone/>
                <wp:docPr id="46" name="Text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32050" cy="3333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25E05064" w14:textId="4B83965A" w:rsidR="0042761D" w:rsidRDefault="005241A2" w:rsidP="00CE2C4E">
                            <w:pPr>
                              <w:spacing w:before="5"/>
                              <w:ind w:left="20"/>
                              <w:jc w:val="right"/>
                              <w:rPr>
                                <w:b/>
                                <w:sz w:val="44"/>
                              </w:rPr>
                            </w:pPr>
                            <w:r>
                              <w:rPr>
                                <w:b/>
                                <w:color w:val="161A48"/>
                                <w:sz w:val="28"/>
                                <w:szCs w:val="28"/>
                              </w:rPr>
                              <w:t>SOUHRN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54A38B" id="_x0000_t202" coordsize="21600,21600" o:spt="202" path="m,l,21600r21600,l21600,xe">
                <v:stroke joinstyle="miter"/>
                <v:path gradientshapeok="t" o:connecttype="rect"/>
              </v:shapetype>
              <v:shape id="Textbox 46" o:spid="_x0000_s1026" type="#_x0000_t202" style="position:absolute;margin-left:286.65pt;margin-top:56.35pt;width:191.5pt;height:26.25pt;z-index:-251657216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" filled="f" stroked="f">
                <v:textbox inset="0,0,0,0">
                  <w:txbxContent>
                    <w:p w14:paraId="25E05064" w14:textId="4B83965A" w:rsidR="0042761D" w:rsidRDefault="005241A2" w:rsidP="00CE2C4E">
                      <w:pPr>
                        <w:spacing w:before="5"/>
                        <w:ind w:left="20"/>
                        <w:jc w:val="right"/>
                        <w:rPr>
                          <w:b/>
                          <w:sz w:val="44"/>
                        </w:rPr>
                      </w:pPr>
                      <w:r>
                        <w:rPr>
                          <w:b/>
                          <w:color w:val="161A48"/>
                          <w:sz w:val="28"/>
                          <w:szCs w:val="28"/>
                        </w:rPr>
                        <w:t>SOUHRN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tbl>
      <w:tblPr>
        <w:tblpPr w:leftFromText="141" w:rightFromText="141" w:vertAnchor="page" w:horzAnchor="margin" w:tblpY="296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337"/>
      </w:tblGrid>
      <w:tr w:rsidR="005241A2" w:rsidRPr="00DE2BC0" w14:paraId="4804DF3D" w14:textId="77777777" w:rsidTr="005241A2">
        <w:trPr>
          <w:trHeight w:val="1105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1E4F5" w:themeFill="accent1" w:themeFillTint="33"/>
            <w:vAlign w:val="center"/>
          </w:tcPr>
          <w:p w14:paraId="72D36674" w14:textId="06757CA5" w:rsidR="00FD3B62" w:rsidRPr="00FD3B62" w:rsidRDefault="00F8166B" w:rsidP="005241A2">
            <w:pPr>
              <w:spacing w:before="120" w:after="120"/>
              <w:rPr>
                <w:b/>
                <w:bCs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 xml:space="preserve">Informace o </w:t>
            </w:r>
            <w:r w:rsidRPr="00275958">
              <w:rPr>
                <w:b/>
                <w:color w:val="0070C0"/>
                <w:sz w:val="28"/>
                <w:szCs w:val="28"/>
              </w:rPr>
              <w:t>Návrh</w:t>
            </w:r>
            <w:r>
              <w:rPr>
                <w:b/>
                <w:color w:val="0070C0"/>
                <w:sz w:val="28"/>
                <w:szCs w:val="28"/>
              </w:rPr>
              <w:t>u</w:t>
            </w:r>
            <w:r w:rsidRPr="00275958">
              <w:rPr>
                <w:b/>
                <w:color w:val="0070C0"/>
                <w:sz w:val="28"/>
                <w:szCs w:val="28"/>
              </w:rPr>
              <w:t xml:space="preserve"> výdajů státního rozpočtu Č</w:t>
            </w:r>
            <w:r>
              <w:rPr>
                <w:b/>
                <w:color w:val="0070C0"/>
                <w:sz w:val="28"/>
                <w:szCs w:val="28"/>
              </w:rPr>
              <w:t>R</w:t>
            </w:r>
            <w:r w:rsidRPr="00275958">
              <w:rPr>
                <w:b/>
                <w:color w:val="0070C0"/>
                <w:sz w:val="28"/>
                <w:szCs w:val="28"/>
              </w:rPr>
              <w:t xml:space="preserve"> na </w:t>
            </w:r>
            <w:proofErr w:type="spellStart"/>
            <w:r>
              <w:rPr>
                <w:b/>
                <w:color w:val="0070C0"/>
                <w:sz w:val="28"/>
                <w:szCs w:val="28"/>
              </w:rPr>
              <w:t>VaVaI</w:t>
            </w:r>
            <w:proofErr w:type="spellEnd"/>
            <w:r w:rsidRPr="00275958">
              <w:rPr>
                <w:b/>
                <w:color w:val="0070C0"/>
                <w:sz w:val="28"/>
                <w:szCs w:val="28"/>
              </w:rPr>
              <w:t xml:space="preserve"> </w:t>
            </w:r>
            <w:r>
              <w:rPr>
                <w:b/>
                <w:color w:val="0070C0"/>
                <w:sz w:val="28"/>
                <w:szCs w:val="28"/>
              </w:rPr>
              <w:t xml:space="preserve">na rok 2026 se střednědobým výhledem na léta 2027 a 2028 a dlouhodobým výhledem do roku </w:t>
            </w:r>
            <w:r w:rsidRPr="00275958">
              <w:rPr>
                <w:b/>
                <w:color w:val="0070C0"/>
                <w:sz w:val="28"/>
                <w:szCs w:val="28"/>
              </w:rPr>
              <w:t>20</w:t>
            </w:r>
            <w:r>
              <w:rPr>
                <w:b/>
                <w:color w:val="0070C0"/>
                <w:sz w:val="28"/>
                <w:szCs w:val="28"/>
              </w:rPr>
              <w:t>32</w:t>
            </w:r>
          </w:p>
        </w:tc>
        <w:tc>
          <w:tcPr>
            <w:tcW w:w="333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1E4F5" w:themeFill="accent1" w:themeFillTint="33"/>
            <w:vAlign w:val="center"/>
          </w:tcPr>
          <w:p w14:paraId="330E55F8" w14:textId="2226B0FF" w:rsidR="005241A2" w:rsidRPr="009870E8" w:rsidRDefault="005241A2" w:rsidP="005241A2">
            <w:pPr>
              <w:spacing w:before="120" w:after="120"/>
              <w:jc w:val="center"/>
              <w:rPr>
                <w:b/>
                <w:color w:val="0070C0"/>
                <w:sz w:val="28"/>
                <w:szCs w:val="28"/>
              </w:rPr>
            </w:pPr>
            <w:r>
              <w:rPr>
                <w:b/>
                <w:color w:val="0070C0"/>
                <w:sz w:val="28"/>
                <w:szCs w:val="28"/>
              </w:rPr>
              <w:t>4</w:t>
            </w:r>
            <w:r w:rsidR="00FD3B62">
              <w:rPr>
                <w:b/>
                <w:color w:val="0070C0"/>
                <w:sz w:val="28"/>
                <w:szCs w:val="28"/>
              </w:rPr>
              <w:t>14</w:t>
            </w:r>
            <w:r>
              <w:rPr>
                <w:b/>
                <w:color w:val="0070C0"/>
                <w:sz w:val="28"/>
                <w:szCs w:val="28"/>
              </w:rPr>
              <w:t>/</w:t>
            </w:r>
            <w:r w:rsidR="00F8166B">
              <w:rPr>
                <w:b/>
                <w:color w:val="0070C0"/>
                <w:sz w:val="28"/>
                <w:szCs w:val="28"/>
              </w:rPr>
              <w:t>A</w:t>
            </w:r>
            <w:r w:rsidR="00832CA1">
              <w:rPr>
                <w:b/>
                <w:color w:val="0070C0"/>
                <w:sz w:val="28"/>
                <w:szCs w:val="28"/>
              </w:rPr>
              <w:t>7</w:t>
            </w:r>
          </w:p>
        </w:tc>
      </w:tr>
      <w:tr w:rsidR="005241A2" w:rsidRPr="00DE2BC0" w14:paraId="7B759CEE" w14:textId="77777777" w:rsidTr="002D3C4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DF50052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>
              <w:rPr>
                <w:b/>
                <w:i/>
                <w:noProof/>
              </w:rPr>
              <w:t>Předkládá</w:t>
            </w:r>
          </w:p>
        </w:tc>
        <w:tc>
          <w:tcPr>
            <w:tcW w:w="567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vAlign w:val="bottom"/>
          </w:tcPr>
          <w:p w14:paraId="3B1A4FD6" w14:textId="269C75A8" w:rsidR="005241A2" w:rsidRPr="002D3C4B" w:rsidRDefault="00FD3B62" w:rsidP="002D3C4B">
            <w:pPr>
              <w:spacing w:before="120" w:after="120"/>
              <w:jc w:val="left"/>
              <w:rPr>
                <w:bCs/>
                <w:i/>
              </w:rPr>
            </w:pPr>
            <w:r>
              <w:rPr>
                <w:bCs/>
                <w:i/>
              </w:rPr>
              <w:t>dr. Ženíšek</w:t>
            </w:r>
          </w:p>
        </w:tc>
      </w:tr>
      <w:tr w:rsidR="005241A2" w:rsidRPr="00DE2BC0" w14:paraId="0B9DD80E" w14:textId="77777777" w:rsidTr="002D3C4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vAlign w:val="center"/>
          </w:tcPr>
          <w:p w14:paraId="6A124EA5" w14:textId="77777777" w:rsidR="005241A2" w:rsidRPr="008F77F6" w:rsidRDefault="005241A2" w:rsidP="002D3C4B">
            <w:pPr>
              <w:spacing w:before="120" w:after="120"/>
              <w:jc w:val="left"/>
              <w:rPr>
                <w:b/>
                <w:i/>
                <w:noProof/>
              </w:rPr>
            </w:pPr>
            <w:r w:rsidRPr="008F77F6">
              <w:rPr>
                <w:b/>
                <w:i/>
                <w:noProof/>
              </w:rPr>
              <w:t>Zpracovatel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útvar</w:t>
            </w:r>
            <w:r>
              <w:rPr>
                <w:b/>
                <w:i/>
                <w:noProof/>
              </w:rPr>
              <w:t>,</w:t>
            </w:r>
            <w:r w:rsidRPr="008F77F6">
              <w:rPr>
                <w:b/>
                <w:i/>
                <w:noProof/>
              </w:rPr>
              <w:t xml:space="preserve"> datum</w:t>
            </w:r>
          </w:p>
        </w:tc>
        <w:tc>
          <w:tcPr>
            <w:tcW w:w="567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14:paraId="5B5FF744" w14:textId="7F74C1F1" w:rsidR="005241A2" w:rsidRPr="002D3C4B" w:rsidRDefault="00FD3B62" w:rsidP="002D3C4B">
            <w:pPr>
              <w:spacing w:before="120" w:after="120"/>
              <w:jc w:val="left"/>
              <w:rPr>
                <w:bCs/>
                <w:i/>
              </w:rPr>
            </w:pPr>
            <w:r w:rsidRPr="008E7EB7">
              <w:rPr>
                <w:i/>
              </w:rPr>
              <w:t>Mgr. Palucha, Ing. Špičková, Odbor VVI, září 2025</w:t>
            </w:r>
          </w:p>
        </w:tc>
      </w:tr>
      <w:tr w:rsidR="005241A2" w:rsidRPr="00DE2BC0" w14:paraId="7AAD4E64" w14:textId="77777777" w:rsidTr="005241A2">
        <w:trPr>
          <w:trHeight w:val="1982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</w:tcPr>
          <w:p w14:paraId="4176373A" w14:textId="77777777" w:rsidR="005241A2" w:rsidRPr="00AB734E" w:rsidRDefault="005241A2" w:rsidP="005241A2">
            <w:pPr>
              <w:spacing w:before="120" w:after="120"/>
              <w:rPr>
                <w:b/>
                <w:i/>
              </w:rPr>
            </w:pPr>
            <w:r w:rsidRPr="00AB734E">
              <w:rPr>
                <w:b/>
                <w:i/>
              </w:rPr>
              <w:t>Souhrn</w:t>
            </w:r>
          </w:p>
          <w:p w14:paraId="48BA6140" w14:textId="45AD21C1" w:rsidR="003E193E" w:rsidRDefault="003E193E" w:rsidP="003E193E">
            <w:pPr>
              <w:spacing w:after="120"/>
            </w:pPr>
            <w:r>
              <w:t xml:space="preserve">Dne 30. května 2025 Rada </w:t>
            </w:r>
            <w:r w:rsidRPr="00087262">
              <w:t xml:space="preserve">pro výzkum, vývoj a inovace (dále jen „Rada“) </w:t>
            </w:r>
            <w:r>
              <w:t>schválila na svém 412.</w:t>
            </w:r>
            <w:r w:rsidR="00393C39">
              <w:t> </w:t>
            </w:r>
            <w:r>
              <w:t xml:space="preserve">zasedání finální materiál </w:t>
            </w:r>
            <w:r w:rsidRPr="008E23A9">
              <w:t>„Návrh výdajů státního rozpočtu České republiky na výzkum, experimentální vývoj a inovace na rok 20</w:t>
            </w:r>
            <w:r>
              <w:t>26</w:t>
            </w:r>
            <w:r w:rsidRPr="008E23A9">
              <w:t xml:space="preserve"> s</w:t>
            </w:r>
            <w:r>
              <w:t>e střednědobým</w:t>
            </w:r>
            <w:r w:rsidRPr="008E23A9">
              <w:t> výhledem na léta 20</w:t>
            </w:r>
            <w:r>
              <w:t>27 a 2028 a</w:t>
            </w:r>
            <w:r w:rsidR="00393C39">
              <w:t> </w:t>
            </w:r>
            <w:r>
              <w:t>dlouhodobým výhledem do roku 2032</w:t>
            </w:r>
            <w:r w:rsidRPr="008E23A9">
              <w:t>“</w:t>
            </w:r>
            <w:r>
              <w:t xml:space="preserve"> včetně vypořádání mezirezortního připomínkového řízení a Rada požádala svého předsedu o předložení Materiálu na jednání vlády.</w:t>
            </w:r>
          </w:p>
          <w:p w14:paraId="3131B189" w14:textId="77777777" w:rsidR="003E193E" w:rsidRPr="00BA14CF" w:rsidRDefault="003E193E" w:rsidP="003E193E">
            <w:pPr>
              <w:spacing w:after="120"/>
            </w:pPr>
            <w:r w:rsidRPr="00BA14CF">
              <w:t>Rada navrhla schválit celkové objemy výdajů takto:</w:t>
            </w:r>
          </w:p>
          <w:p w14:paraId="59EA259D" w14:textId="5E5E6B81" w:rsidR="003E193E" w:rsidRPr="0070146B" w:rsidRDefault="003E193E" w:rsidP="003E193E">
            <w:pPr>
              <w:pStyle w:val="Odstavecseseznamem"/>
              <w:numPr>
                <w:ilvl w:val="0"/>
                <w:numId w:val="15"/>
              </w:numPr>
              <w:spacing w:after="120" w:line="240" w:lineRule="auto"/>
              <w:rPr>
                <w:b/>
              </w:rPr>
            </w:pPr>
            <w:r w:rsidRPr="003E193E">
              <w:rPr>
                <w:b/>
                <w:bCs/>
              </w:rPr>
              <w:t>na r</w:t>
            </w:r>
            <w:r w:rsidR="00393C39">
              <w:rPr>
                <w:b/>
                <w:bCs/>
              </w:rPr>
              <w:t>ok</w:t>
            </w:r>
            <w:r w:rsidRPr="003E193E">
              <w:rPr>
                <w:b/>
                <w:bCs/>
              </w:rPr>
              <w:t xml:space="preserve"> 2026</w:t>
            </w:r>
            <w:r w:rsidRPr="00BA14CF">
              <w:t xml:space="preserve"> </w:t>
            </w:r>
            <w:r w:rsidRPr="0070146B">
              <w:rPr>
                <w:b/>
              </w:rPr>
              <w:t>celkem 46 7</w:t>
            </w:r>
            <w:r>
              <w:rPr>
                <w:b/>
              </w:rPr>
              <w:t>7</w:t>
            </w:r>
            <w:r w:rsidRPr="0070146B">
              <w:rPr>
                <w:b/>
              </w:rPr>
              <w:t>0 224,5 tis. Kč,</w:t>
            </w:r>
          </w:p>
          <w:p w14:paraId="54B50B0F" w14:textId="1AA06FA7" w:rsidR="003E193E" w:rsidRDefault="003E193E" w:rsidP="003E193E">
            <w:pPr>
              <w:pStyle w:val="Odstavecseseznamem"/>
              <w:numPr>
                <w:ilvl w:val="0"/>
                <w:numId w:val="15"/>
              </w:numPr>
              <w:spacing w:after="120" w:line="240" w:lineRule="auto"/>
              <w:rPr>
                <w:b/>
              </w:rPr>
            </w:pPr>
            <w:r w:rsidRPr="0070146B">
              <w:rPr>
                <w:b/>
              </w:rPr>
              <w:t>na r</w:t>
            </w:r>
            <w:r w:rsidR="00393C39">
              <w:rPr>
                <w:b/>
              </w:rPr>
              <w:t>ok</w:t>
            </w:r>
            <w:r w:rsidRPr="0070146B">
              <w:rPr>
                <w:b/>
              </w:rPr>
              <w:t xml:space="preserve"> 2027 celkem </w:t>
            </w:r>
            <w:r>
              <w:rPr>
                <w:b/>
              </w:rPr>
              <w:t>50 084 569,9</w:t>
            </w:r>
            <w:r w:rsidRPr="0070146B">
              <w:rPr>
                <w:b/>
              </w:rPr>
              <w:t xml:space="preserve"> tis. Kč,</w:t>
            </w:r>
          </w:p>
          <w:p w14:paraId="649F4B26" w14:textId="589DB111" w:rsidR="003E193E" w:rsidRPr="003E193E" w:rsidRDefault="003E193E" w:rsidP="003E193E">
            <w:pPr>
              <w:pStyle w:val="Odstavecseseznamem"/>
              <w:numPr>
                <w:ilvl w:val="0"/>
                <w:numId w:val="15"/>
              </w:numPr>
              <w:spacing w:after="120" w:line="240" w:lineRule="auto"/>
              <w:rPr>
                <w:b/>
              </w:rPr>
            </w:pPr>
            <w:r w:rsidRPr="003E193E">
              <w:rPr>
                <w:b/>
              </w:rPr>
              <w:t>na r</w:t>
            </w:r>
            <w:r w:rsidR="00393C39">
              <w:rPr>
                <w:b/>
              </w:rPr>
              <w:t>ok</w:t>
            </w:r>
            <w:r w:rsidRPr="003E193E">
              <w:rPr>
                <w:b/>
              </w:rPr>
              <w:t xml:space="preserve"> 2028 celkem 50 344 037,5 tis. Kč</w:t>
            </w:r>
            <w:r w:rsidR="00393C39">
              <w:rPr>
                <w:b/>
              </w:rPr>
              <w:t>.</w:t>
            </w:r>
          </w:p>
          <w:p w14:paraId="6E356372" w14:textId="0DF32B75" w:rsidR="003E193E" w:rsidRPr="006B1D89" w:rsidRDefault="003E193E" w:rsidP="003E193E">
            <w:pPr>
              <w:spacing w:after="120"/>
              <w:rPr>
                <w:bCs/>
              </w:rPr>
            </w:pPr>
            <w:r w:rsidRPr="00BA14CF">
              <w:rPr>
                <w:b/>
              </w:rPr>
              <w:t>Vláda ČR</w:t>
            </w:r>
            <w:r>
              <w:t xml:space="preserve"> Materiál projednala na svém zasedání dne 11. června 2025 a přijala k němu usnesení č. 416</w:t>
            </w:r>
            <w:r w:rsidR="00401A97">
              <w:t xml:space="preserve"> (dále jen „UV č. 416/2025“)</w:t>
            </w:r>
            <w:r>
              <w:t xml:space="preserve">, kterým </w:t>
            </w:r>
            <w:r w:rsidRPr="00BA14CF">
              <w:rPr>
                <w:b/>
              </w:rPr>
              <w:t>vzala na vědomí</w:t>
            </w:r>
            <w:r>
              <w:t xml:space="preserve"> návrh výdajů státního rozpočtu České republiky na výzkum, experimentální vývoj a inovace (bez výdajů krytých příjmy z programů EU a</w:t>
            </w:r>
            <w:r w:rsidR="00393C39">
              <w:t> </w:t>
            </w:r>
            <w:r>
              <w:t>finančních mechanismů) na r</w:t>
            </w:r>
            <w:r w:rsidR="00393C39">
              <w:t>ok</w:t>
            </w:r>
            <w:r>
              <w:t xml:space="preserve"> 2026 s výhledem na léta 2027 a 2028. Tímto usnesením současně v bodě II. </w:t>
            </w:r>
            <w:r w:rsidRPr="00BA14CF">
              <w:rPr>
                <w:b/>
              </w:rPr>
              <w:t>uložila ministru financí: „aby v návrhu státního rozpočtu na rok 202</w:t>
            </w:r>
            <w:r>
              <w:rPr>
                <w:b/>
              </w:rPr>
              <w:t>6</w:t>
            </w:r>
            <w:r w:rsidRPr="00BA14CF">
              <w:rPr>
                <w:b/>
              </w:rPr>
              <w:t xml:space="preserve"> </w:t>
            </w:r>
            <w:r>
              <w:rPr>
                <w:b/>
              </w:rPr>
              <w:t>a</w:t>
            </w:r>
            <w:r w:rsidR="00393C39">
              <w:rPr>
                <w:b/>
              </w:rPr>
              <w:t> </w:t>
            </w:r>
            <w:r>
              <w:rPr>
                <w:b/>
              </w:rPr>
              <w:t xml:space="preserve">střednědobém výhledu na léta 2027 a 2028 </w:t>
            </w:r>
            <w:r w:rsidRPr="00BA14CF">
              <w:rPr>
                <w:b/>
              </w:rPr>
              <w:t>byly navýšeny výdaje na v</w:t>
            </w:r>
            <w:r>
              <w:rPr>
                <w:b/>
              </w:rPr>
              <w:t>ýzkum</w:t>
            </w:r>
            <w:r w:rsidRPr="00BA14CF">
              <w:rPr>
                <w:b/>
              </w:rPr>
              <w:t xml:space="preserve">, </w:t>
            </w:r>
            <w:r>
              <w:rPr>
                <w:b/>
              </w:rPr>
              <w:t xml:space="preserve">experimentální </w:t>
            </w:r>
            <w:r w:rsidRPr="00BA14CF">
              <w:rPr>
                <w:b/>
              </w:rPr>
              <w:t>vý</w:t>
            </w:r>
            <w:r>
              <w:rPr>
                <w:b/>
              </w:rPr>
              <w:t>voj</w:t>
            </w:r>
            <w:r w:rsidRPr="00BA14CF">
              <w:rPr>
                <w:b/>
              </w:rPr>
              <w:t xml:space="preserve"> a inovace</w:t>
            </w:r>
            <w:r>
              <w:rPr>
                <w:b/>
              </w:rPr>
              <w:t xml:space="preserve"> oproti výdajům schváleným na rok 2025</w:t>
            </w:r>
            <w:r w:rsidRPr="00BA14CF">
              <w:rPr>
                <w:b/>
              </w:rPr>
              <w:t>.“</w:t>
            </w:r>
            <w:r w:rsidR="006B1D89">
              <w:rPr>
                <w:bCs/>
              </w:rPr>
              <w:t xml:space="preserve">, tj. </w:t>
            </w:r>
            <w:r w:rsidR="006B1D89">
              <w:t xml:space="preserve">nad výši </w:t>
            </w:r>
            <w:r w:rsidR="006B1D89" w:rsidRPr="00507010">
              <w:rPr>
                <w:b/>
              </w:rPr>
              <w:t>4</w:t>
            </w:r>
            <w:r w:rsidR="006B1D89">
              <w:rPr>
                <w:b/>
              </w:rPr>
              <w:t>3</w:t>
            </w:r>
            <w:r w:rsidR="002843FA">
              <w:rPr>
                <w:b/>
              </w:rPr>
              <w:t> </w:t>
            </w:r>
            <w:r w:rsidR="006B1D89">
              <w:rPr>
                <w:b/>
              </w:rPr>
              <w:t>305</w:t>
            </w:r>
            <w:r w:rsidR="002843FA">
              <w:rPr>
                <w:b/>
              </w:rPr>
              <w:t> </w:t>
            </w:r>
            <w:r w:rsidR="006B1D89">
              <w:rPr>
                <w:b/>
              </w:rPr>
              <w:t>157</w:t>
            </w:r>
            <w:r w:rsidR="006B1D89" w:rsidRPr="00507010">
              <w:rPr>
                <w:b/>
              </w:rPr>
              <w:t>,</w:t>
            </w:r>
            <w:r w:rsidR="006B1D89">
              <w:rPr>
                <w:b/>
              </w:rPr>
              <w:t>5</w:t>
            </w:r>
            <w:r w:rsidR="006B1D89" w:rsidRPr="00507010">
              <w:rPr>
                <w:b/>
              </w:rPr>
              <w:t xml:space="preserve"> tis. Kč</w:t>
            </w:r>
            <w:r w:rsidR="006B1D89">
              <w:t>.</w:t>
            </w:r>
          </w:p>
          <w:p w14:paraId="760CEA0E" w14:textId="597BD145" w:rsidR="003A7B1B" w:rsidRDefault="003E193E" w:rsidP="003A7B1B">
            <w:pPr>
              <w:autoSpaceDE w:val="0"/>
              <w:autoSpaceDN w:val="0"/>
              <w:adjustRightInd w:val="0"/>
              <w:spacing w:after="120"/>
              <w:rPr>
                <w:color w:val="000000"/>
              </w:rPr>
            </w:pPr>
            <w:r w:rsidRPr="003A7B1B">
              <w:rPr>
                <w:b/>
                <w:bCs/>
              </w:rPr>
              <w:t xml:space="preserve">Ministerstvo financí </w:t>
            </w:r>
            <w:r w:rsidR="00E93A5D" w:rsidRPr="003A7B1B">
              <w:rPr>
                <w:b/>
                <w:bCs/>
              </w:rPr>
              <w:t>(</w:t>
            </w:r>
            <w:r w:rsidR="00EB5E4F" w:rsidRPr="003A7B1B">
              <w:rPr>
                <w:b/>
                <w:bCs/>
              </w:rPr>
              <w:t>dále jen „MF“</w:t>
            </w:r>
            <w:r w:rsidR="00E93A5D" w:rsidRPr="003A7B1B">
              <w:rPr>
                <w:b/>
                <w:bCs/>
              </w:rPr>
              <w:t xml:space="preserve">) </w:t>
            </w:r>
            <w:r w:rsidRPr="003A7B1B">
              <w:rPr>
                <w:b/>
                <w:bCs/>
              </w:rPr>
              <w:t>zveřejnilo dne 31. srpna 202</w:t>
            </w:r>
            <w:r w:rsidR="0073233B" w:rsidRPr="003A7B1B">
              <w:rPr>
                <w:b/>
                <w:bCs/>
              </w:rPr>
              <w:t>5</w:t>
            </w:r>
            <w:r w:rsidRPr="003A7B1B">
              <w:rPr>
                <w:b/>
                <w:bCs/>
              </w:rPr>
              <w:t xml:space="preserve"> </w:t>
            </w:r>
            <w:r w:rsidRPr="003A7B1B">
              <w:rPr>
                <w:b/>
                <w:bCs/>
                <w:color w:val="000000"/>
              </w:rPr>
              <w:t>návrh zákona o státním rozpočtu</w:t>
            </w:r>
            <w:r w:rsidRPr="00F173E1">
              <w:rPr>
                <w:color w:val="000000"/>
              </w:rPr>
              <w:t xml:space="preserve"> ČR na rok 202</w:t>
            </w:r>
            <w:r w:rsidR="0073233B">
              <w:rPr>
                <w:color w:val="000000"/>
              </w:rPr>
              <w:t>6</w:t>
            </w:r>
            <w:r w:rsidRPr="00F173E1">
              <w:rPr>
                <w:color w:val="000000"/>
              </w:rPr>
              <w:t xml:space="preserve"> a střednědobého výhledu státního r</w:t>
            </w:r>
            <w:r>
              <w:rPr>
                <w:color w:val="000000"/>
              </w:rPr>
              <w:t>ozpočtu ČR na léta 202</w:t>
            </w:r>
            <w:r w:rsidR="0073233B">
              <w:rPr>
                <w:color w:val="000000"/>
              </w:rPr>
              <w:t>7</w:t>
            </w:r>
            <w:r>
              <w:rPr>
                <w:color w:val="000000"/>
              </w:rPr>
              <w:t xml:space="preserve"> a 202</w:t>
            </w:r>
            <w:r w:rsidR="0073233B">
              <w:rPr>
                <w:color w:val="000000"/>
              </w:rPr>
              <w:t>8</w:t>
            </w:r>
            <w:r>
              <w:rPr>
                <w:color w:val="000000"/>
              </w:rPr>
              <w:t>, který b</w:t>
            </w:r>
            <w:r w:rsidR="0073233B">
              <w:rPr>
                <w:color w:val="000000"/>
              </w:rPr>
              <w:t>ude</w:t>
            </w:r>
            <w:r>
              <w:rPr>
                <w:color w:val="000000"/>
              </w:rPr>
              <w:t xml:space="preserve"> projednán vládou ČR d</w:t>
            </w:r>
            <w:r w:rsidR="0073233B">
              <w:rPr>
                <w:color w:val="000000"/>
              </w:rPr>
              <w:t>o konce září</w:t>
            </w:r>
            <w:r>
              <w:rPr>
                <w:color w:val="000000"/>
              </w:rPr>
              <w:t xml:space="preserve"> 202</w:t>
            </w:r>
            <w:r w:rsidR="0073233B">
              <w:rPr>
                <w:color w:val="000000"/>
              </w:rPr>
              <w:t>5.</w:t>
            </w:r>
            <w:r w:rsidR="00A27B07">
              <w:rPr>
                <w:color w:val="000000"/>
              </w:rPr>
              <w:t xml:space="preserve"> Na rok 2026 jsou navrženy výdaje na </w:t>
            </w:r>
            <w:proofErr w:type="spellStart"/>
            <w:r w:rsidR="00A27B07">
              <w:rPr>
                <w:color w:val="000000"/>
              </w:rPr>
              <w:t>VaVaI</w:t>
            </w:r>
            <w:proofErr w:type="spellEnd"/>
            <w:r w:rsidR="00A27B07">
              <w:rPr>
                <w:color w:val="000000"/>
              </w:rPr>
              <w:t xml:space="preserve"> ve výši </w:t>
            </w:r>
            <w:r w:rsidR="00A27B07" w:rsidRPr="00A27B07">
              <w:rPr>
                <w:b/>
                <w:bCs/>
                <w:color w:val="000000"/>
              </w:rPr>
              <w:t xml:space="preserve">43 518 971 688,- Kč, tj. o 213,8 mil. Kč více, než jsou výdaje </w:t>
            </w:r>
            <w:r w:rsidR="00A27B07">
              <w:rPr>
                <w:b/>
                <w:bCs/>
                <w:color w:val="000000"/>
              </w:rPr>
              <w:t xml:space="preserve">schválené </w:t>
            </w:r>
            <w:r w:rsidR="00A27B07" w:rsidRPr="00A27B07">
              <w:rPr>
                <w:b/>
                <w:bCs/>
                <w:color w:val="000000"/>
              </w:rPr>
              <w:t>na r</w:t>
            </w:r>
            <w:r w:rsidR="00393C39">
              <w:rPr>
                <w:b/>
                <w:bCs/>
                <w:color w:val="000000"/>
              </w:rPr>
              <w:t>ok</w:t>
            </w:r>
            <w:r w:rsidR="00A27B07" w:rsidRPr="00A27B07">
              <w:rPr>
                <w:b/>
                <w:bCs/>
                <w:color w:val="000000"/>
              </w:rPr>
              <w:t xml:space="preserve"> 2025, ale o</w:t>
            </w:r>
            <w:r w:rsidR="00393C39">
              <w:rPr>
                <w:b/>
                <w:bCs/>
                <w:color w:val="000000"/>
              </w:rPr>
              <w:t> </w:t>
            </w:r>
            <w:r w:rsidR="00A27B07" w:rsidRPr="00A27B07">
              <w:rPr>
                <w:b/>
                <w:bCs/>
                <w:color w:val="000000"/>
              </w:rPr>
              <w:t>3,25</w:t>
            </w:r>
            <w:r w:rsidR="00393C39">
              <w:rPr>
                <w:b/>
                <w:bCs/>
                <w:color w:val="000000"/>
              </w:rPr>
              <w:t> </w:t>
            </w:r>
            <w:r w:rsidR="00A27B07" w:rsidRPr="00A27B07">
              <w:rPr>
                <w:b/>
                <w:bCs/>
                <w:color w:val="000000"/>
              </w:rPr>
              <w:t>mld. Kč méně, než navrhla Rada</w:t>
            </w:r>
            <w:r w:rsidR="00A27B07">
              <w:rPr>
                <w:color w:val="000000"/>
              </w:rPr>
              <w:t xml:space="preserve">. </w:t>
            </w:r>
            <w:r w:rsidR="003A7B1B">
              <w:rPr>
                <w:color w:val="000000"/>
              </w:rPr>
              <w:t>Oficiální materiál MF pak neobsahoval návrhy výdajů na roky 2027 a 2028.</w:t>
            </w:r>
          </w:p>
          <w:p w14:paraId="2BC7739D" w14:textId="3EAAF72E" w:rsidR="003E193E" w:rsidRDefault="00A27B07" w:rsidP="0073233B">
            <w:pPr>
              <w:autoSpaceDE w:val="0"/>
              <w:autoSpaceDN w:val="0"/>
              <w:adjustRightInd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Návrh výdajů na roky 2027 a 2028 není v materiálu </w:t>
            </w:r>
            <w:r w:rsidR="00E93A5D">
              <w:rPr>
                <w:color w:val="000000"/>
              </w:rPr>
              <w:t>MF</w:t>
            </w:r>
            <w:r>
              <w:rPr>
                <w:color w:val="000000"/>
              </w:rPr>
              <w:t xml:space="preserve"> obsažen, </w:t>
            </w:r>
            <w:r w:rsidRPr="007C28AA">
              <w:rPr>
                <w:b/>
                <w:bCs/>
                <w:color w:val="000000"/>
              </w:rPr>
              <w:t>po pracovní úrovni nám nicméně MF svůj návrh</w:t>
            </w:r>
            <w:r w:rsidR="008560B3" w:rsidRPr="007C28AA">
              <w:rPr>
                <w:b/>
                <w:bCs/>
                <w:color w:val="000000"/>
              </w:rPr>
              <w:t xml:space="preserve"> zaslalo</w:t>
            </w:r>
            <w:r w:rsidR="00307CC8">
              <w:rPr>
                <w:color w:val="000000"/>
              </w:rPr>
              <w:t xml:space="preserve"> (jedná se o</w:t>
            </w:r>
            <w:r w:rsidR="00393C39">
              <w:rPr>
                <w:color w:val="000000"/>
              </w:rPr>
              <w:t> </w:t>
            </w:r>
            <w:r w:rsidR="00307CC8">
              <w:rPr>
                <w:color w:val="000000"/>
              </w:rPr>
              <w:t>návrh předložený na jednání vlády dne 27.</w:t>
            </w:r>
            <w:r w:rsidR="007C28AA">
              <w:rPr>
                <w:color w:val="000000"/>
              </w:rPr>
              <w:t> </w:t>
            </w:r>
            <w:r w:rsidR="007608CC">
              <w:rPr>
                <w:color w:val="000000"/>
              </w:rPr>
              <w:t>srpna</w:t>
            </w:r>
            <w:r w:rsidR="007C28AA">
              <w:rPr>
                <w:color w:val="000000"/>
              </w:rPr>
              <w:t> </w:t>
            </w:r>
            <w:r w:rsidR="00307CC8">
              <w:rPr>
                <w:color w:val="000000"/>
              </w:rPr>
              <w:t>2025)</w:t>
            </w:r>
            <w:r>
              <w:rPr>
                <w:color w:val="000000"/>
              </w:rPr>
              <w:t xml:space="preserve">, </w:t>
            </w:r>
            <w:r w:rsidR="008560B3">
              <w:rPr>
                <w:color w:val="000000"/>
              </w:rPr>
              <w:t>ten</w:t>
            </w:r>
            <w:r>
              <w:rPr>
                <w:color w:val="000000"/>
              </w:rPr>
              <w:t xml:space="preserve"> však </w:t>
            </w:r>
            <w:r w:rsidR="00401A97" w:rsidRPr="007C28AA">
              <w:rPr>
                <w:b/>
                <w:bCs/>
                <w:color w:val="000000"/>
              </w:rPr>
              <w:t>v navržených celkových částkách nerespektuje výše uvedené UV č.</w:t>
            </w:r>
            <w:r w:rsidR="007C28AA">
              <w:rPr>
                <w:b/>
                <w:bCs/>
                <w:color w:val="000000"/>
              </w:rPr>
              <w:t> </w:t>
            </w:r>
            <w:r w:rsidR="00401A97" w:rsidRPr="007C28AA">
              <w:rPr>
                <w:b/>
                <w:bCs/>
                <w:color w:val="000000"/>
              </w:rPr>
              <w:t>416/2025, ani priority Rady,</w:t>
            </w:r>
            <w:r w:rsidR="00401A97">
              <w:rPr>
                <w:color w:val="000000"/>
              </w:rPr>
              <w:t xml:space="preserve"> které byly při sestavování rozpočtu na </w:t>
            </w:r>
            <w:proofErr w:type="spellStart"/>
            <w:r w:rsidR="00401A97">
              <w:rPr>
                <w:color w:val="000000"/>
              </w:rPr>
              <w:t>VaVaI</w:t>
            </w:r>
            <w:proofErr w:type="spellEnd"/>
            <w:r w:rsidR="00401A97">
              <w:rPr>
                <w:color w:val="000000"/>
              </w:rPr>
              <w:t xml:space="preserve"> 2026+ zohledněny (viz Příloha 2).</w:t>
            </w:r>
          </w:p>
          <w:p w14:paraId="1ABC3B73" w14:textId="5C25A3FF" w:rsidR="00427D60" w:rsidRDefault="00401A97" w:rsidP="00427D60">
            <w:pPr>
              <w:autoSpaceDE w:val="0"/>
              <w:autoSpaceDN w:val="0"/>
              <w:adjustRightInd w:val="0"/>
              <w:spacing w:after="120"/>
              <w:rPr>
                <w:color w:val="000000"/>
              </w:rPr>
            </w:pPr>
            <w:r w:rsidRPr="007C28AA">
              <w:rPr>
                <w:b/>
                <w:bCs/>
                <w:color w:val="000000"/>
              </w:rPr>
              <w:lastRenderedPageBreak/>
              <w:t>Návrh MF obsahuje u každé rozpočtové kapitoly pouze závazné ukazatele</w:t>
            </w:r>
            <w:r w:rsidR="002F3E4B" w:rsidRPr="007C28AA">
              <w:rPr>
                <w:b/>
                <w:bCs/>
                <w:color w:val="000000"/>
              </w:rPr>
              <w:t>, kterými jsou institucionální podpora celkem, účelová podpora celkem a dlouhodobý koncepční rozvoj výzkumné organizace.</w:t>
            </w:r>
            <w:r w:rsidR="002F3E4B">
              <w:rPr>
                <w:color w:val="000000"/>
              </w:rPr>
              <w:t xml:space="preserve"> V návrhu zákona o SR na r</w:t>
            </w:r>
            <w:r w:rsidR="00393C39">
              <w:rPr>
                <w:color w:val="000000"/>
              </w:rPr>
              <w:t>ok</w:t>
            </w:r>
            <w:r w:rsidR="002F3E4B">
              <w:rPr>
                <w:color w:val="000000"/>
              </w:rPr>
              <w:t xml:space="preserve"> 2026 jsou pak navíc obsaženy položky mezinárodní spolupráce u Ministerstva obrany a Ministerstva školství (dále jen „MŠMT“), u MŠMT navíc položka Specifický VŠ výzkum.</w:t>
            </w:r>
            <w:r w:rsidR="00427D60">
              <w:rPr>
                <w:color w:val="000000"/>
              </w:rPr>
              <w:t xml:space="preserve"> </w:t>
            </w:r>
            <w:r w:rsidR="00427D60" w:rsidRPr="007C28AA">
              <w:rPr>
                <w:b/>
                <w:bCs/>
                <w:color w:val="000000"/>
              </w:rPr>
              <w:t>Odbor VVI tedy oslovil poskytovatele se žádostí o</w:t>
            </w:r>
            <w:r w:rsidR="007C28AA">
              <w:rPr>
                <w:b/>
                <w:bCs/>
                <w:color w:val="000000"/>
              </w:rPr>
              <w:t> </w:t>
            </w:r>
            <w:r w:rsidR="00427D60" w:rsidRPr="007C28AA">
              <w:rPr>
                <w:b/>
                <w:bCs/>
                <w:color w:val="000000"/>
              </w:rPr>
              <w:t xml:space="preserve">zaslání rozpisu závazných ukazatelů na </w:t>
            </w:r>
            <w:proofErr w:type="spellStart"/>
            <w:r w:rsidR="00427D60" w:rsidRPr="007C28AA">
              <w:rPr>
                <w:b/>
                <w:bCs/>
                <w:color w:val="000000"/>
              </w:rPr>
              <w:t>VaVaI</w:t>
            </w:r>
            <w:proofErr w:type="spellEnd"/>
            <w:r w:rsidR="00427D60" w:rsidRPr="007C28AA">
              <w:rPr>
                <w:b/>
                <w:bCs/>
                <w:color w:val="000000"/>
              </w:rPr>
              <w:t xml:space="preserve"> na roky 2026</w:t>
            </w:r>
            <w:r w:rsidR="007608CC" w:rsidRPr="007C28AA">
              <w:rPr>
                <w:b/>
                <w:bCs/>
                <w:color w:val="000000"/>
              </w:rPr>
              <w:t>–</w:t>
            </w:r>
            <w:r w:rsidR="00427D60" w:rsidRPr="007C28AA">
              <w:rPr>
                <w:b/>
                <w:bCs/>
                <w:color w:val="000000"/>
              </w:rPr>
              <w:t>2028</w:t>
            </w:r>
            <w:r w:rsidR="00427D60" w:rsidRPr="00427D60">
              <w:rPr>
                <w:color w:val="000000"/>
              </w:rPr>
              <w:t>, jak jsou rozepsané v IISSP, ve</w:t>
            </w:r>
            <w:r w:rsidR="00393C39">
              <w:rPr>
                <w:color w:val="000000"/>
              </w:rPr>
              <w:t> </w:t>
            </w:r>
            <w:r w:rsidR="00427D60" w:rsidRPr="00427D60">
              <w:rPr>
                <w:color w:val="000000"/>
              </w:rPr>
              <w:t>struktuře (detailu) vykazované Radou.</w:t>
            </w:r>
            <w:r w:rsidR="00427D60">
              <w:rPr>
                <w:color w:val="000000"/>
              </w:rPr>
              <w:t xml:space="preserve"> V Příloze 2 je tento rozpis zapracován </w:t>
            </w:r>
            <w:r w:rsidR="004902B3">
              <w:rPr>
                <w:color w:val="000000"/>
              </w:rPr>
              <w:t>na</w:t>
            </w:r>
            <w:r w:rsidR="007C28AA">
              <w:rPr>
                <w:color w:val="000000"/>
              </w:rPr>
              <w:t> </w:t>
            </w:r>
            <w:r w:rsidR="004902B3">
              <w:rPr>
                <w:color w:val="000000"/>
              </w:rPr>
              <w:t>listech B.</w:t>
            </w:r>
            <w:r w:rsidR="00393C39">
              <w:rPr>
                <w:color w:val="000000"/>
              </w:rPr>
              <w:t> </w:t>
            </w:r>
            <w:r w:rsidR="004902B3">
              <w:rPr>
                <w:color w:val="000000"/>
              </w:rPr>
              <w:t xml:space="preserve">Institucionální podpora a C. Účelová podpora </w:t>
            </w:r>
            <w:r w:rsidR="00427D60">
              <w:rPr>
                <w:color w:val="000000"/>
              </w:rPr>
              <w:t>do sloupc</w:t>
            </w:r>
            <w:r w:rsidR="00307CC8">
              <w:rPr>
                <w:color w:val="000000"/>
              </w:rPr>
              <w:t>ů návrhu MF nazvaných: na r</w:t>
            </w:r>
            <w:r w:rsidR="00393C39">
              <w:rPr>
                <w:color w:val="000000"/>
              </w:rPr>
              <w:t>ok</w:t>
            </w:r>
            <w:r w:rsidR="00307CC8">
              <w:rPr>
                <w:color w:val="000000"/>
              </w:rPr>
              <w:t xml:space="preserve"> 2026 „Návrh MF </w:t>
            </w:r>
            <w:proofErr w:type="spellStart"/>
            <w:r w:rsidR="00307CC8">
              <w:rPr>
                <w:color w:val="000000"/>
              </w:rPr>
              <w:t>eKlep</w:t>
            </w:r>
            <w:proofErr w:type="spellEnd"/>
            <w:r w:rsidR="00307CC8">
              <w:rPr>
                <w:color w:val="000000"/>
              </w:rPr>
              <w:t xml:space="preserve"> 31.</w:t>
            </w:r>
            <w:r w:rsidR="00393C39">
              <w:rPr>
                <w:color w:val="000000"/>
              </w:rPr>
              <w:t xml:space="preserve"> </w:t>
            </w:r>
            <w:r w:rsidR="00307CC8">
              <w:rPr>
                <w:color w:val="000000"/>
              </w:rPr>
              <w:t>8. rozepsaný poskytovateli dle IISSP“, na roky 2027</w:t>
            </w:r>
            <w:r w:rsidR="007608CC">
              <w:rPr>
                <w:color w:val="000000"/>
              </w:rPr>
              <w:t>–</w:t>
            </w:r>
            <w:r w:rsidR="00307CC8">
              <w:rPr>
                <w:color w:val="000000"/>
              </w:rPr>
              <w:t>2028 do</w:t>
            </w:r>
            <w:r w:rsidR="007C28AA">
              <w:rPr>
                <w:color w:val="000000"/>
              </w:rPr>
              <w:t> </w:t>
            </w:r>
            <w:r w:rsidR="00307CC8">
              <w:rPr>
                <w:color w:val="000000"/>
              </w:rPr>
              <w:t>sloupců „Návrh MF 27.</w:t>
            </w:r>
            <w:r w:rsidR="007608CC">
              <w:rPr>
                <w:color w:val="000000"/>
              </w:rPr>
              <w:t xml:space="preserve"> </w:t>
            </w:r>
            <w:r w:rsidR="00307CC8">
              <w:rPr>
                <w:color w:val="000000"/>
              </w:rPr>
              <w:t>8. rozepsaný poskytovateli dle IISSP“</w:t>
            </w:r>
            <w:r w:rsidR="00695E63">
              <w:rPr>
                <w:color w:val="000000"/>
              </w:rPr>
              <w:t>.</w:t>
            </w:r>
          </w:p>
          <w:p w14:paraId="7086AB9E" w14:textId="6CA47DA8" w:rsidR="001D0544" w:rsidRDefault="00307CC8" w:rsidP="001D0544">
            <w:pPr>
              <w:autoSpaceDE w:val="0"/>
              <w:autoSpaceDN w:val="0"/>
              <w:adjustRightInd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 xml:space="preserve">Proti návrhu MF se významně vyhradilo MŠMT </w:t>
            </w:r>
            <w:r w:rsidR="001D0544">
              <w:rPr>
                <w:color w:val="000000"/>
              </w:rPr>
              <w:t>(</w:t>
            </w:r>
            <w:r>
              <w:rPr>
                <w:color w:val="000000"/>
              </w:rPr>
              <w:t>viz Příloha 3</w:t>
            </w:r>
            <w:r w:rsidR="001D0544">
              <w:rPr>
                <w:color w:val="000000"/>
              </w:rPr>
              <w:t>)</w:t>
            </w:r>
            <w:r>
              <w:rPr>
                <w:color w:val="000000"/>
              </w:rPr>
              <w:t xml:space="preserve">, stejně tak </w:t>
            </w:r>
            <w:r w:rsidR="001D0544">
              <w:rPr>
                <w:color w:val="000000"/>
              </w:rPr>
              <w:t>Ministerstvo zdravotnictví (dále jen „</w:t>
            </w:r>
            <w:proofErr w:type="spellStart"/>
            <w:r w:rsidR="001D0544">
              <w:rPr>
                <w:color w:val="000000"/>
              </w:rPr>
              <w:t>MZd</w:t>
            </w:r>
            <w:proofErr w:type="spellEnd"/>
            <w:r w:rsidR="001D0544">
              <w:rPr>
                <w:color w:val="000000"/>
              </w:rPr>
              <w:t xml:space="preserve">“) uvedlo, že navržené </w:t>
            </w:r>
            <w:r w:rsidR="0018009E">
              <w:rPr>
                <w:color w:val="000000"/>
              </w:rPr>
              <w:t>„</w:t>
            </w:r>
            <w:r w:rsidR="001D0544">
              <w:rPr>
                <w:color w:val="000000"/>
              </w:rPr>
              <w:t>č</w:t>
            </w:r>
            <w:r w:rsidR="001D0544" w:rsidRPr="001D0544">
              <w:rPr>
                <w:color w:val="000000"/>
              </w:rPr>
              <w:t xml:space="preserve">ástky na účelovou podporu jsou pro </w:t>
            </w:r>
            <w:proofErr w:type="spellStart"/>
            <w:r w:rsidR="001D0544">
              <w:rPr>
                <w:color w:val="000000"/>
              </w:rPr>
              <w:t>MZd</w:t>
            </w:r>
            <w:proofErr w:type="spellEnd"/>
            <w:r w:rsidR="001D0544" w:rsidRPr="001D0544">
              <w:rPr>
                <w:color w:val="000000"/>
              </w:rPr>
              <w:t xml:space="preserve"> na všechny roky nedostačující, proto rozdělení na programy je spíše jen orientační</w:t>
            </w:r>
            <w:r w:rsidR="001D0544">
              <w:rPr>
                <w:color w:val="000000"/>
              </w:rPr>
              <w:t>, a</w:t>
            </w:r>
            <w:r w:rsidR="001D0544" w:rsidRPr="001D0544">
              <w:rPr>
                <w:color w:val="000000"/>
              </w:rPr>
              <w:t xml:space="preserve"> částky na roky 2027 a 2028 jsou nesmyslné a nedostačující celkově, jak pro účelovou, tak institucionální podporu</w:t>
            </w:r>
            <w:r w:rsidR="0018009E">
              <w:rPr>
                <w:color w:val="000000"/>
              </w:rPr>
              <w:t>“</w:t>
            </w:r>
            <w:r w:rsidR="001D0544" w:rsidRPr="001D0544">
              <w:rPr>
                <w:color w:val="000000"/>
              </w:rPr>
              <w:t>.</w:t>
            </w:r>
          </w:p>
          <w:p w14:paraId="56C91166" w14:textId="51A4DBD7" w:rsidR="003E193E" w:rsidRPr="00393C39" w:rsidRDefault="004902B3" w:rsidP="00393C39">
            <w:pPr>
              <w:autoSpaceDE w:val="0"/>
              <w:autoSpaceDN w:val="0"/>
              <w:adjustRightInd w:val="0"/>
              <w:spacing w:after="120"/>
              <w:rPr>
                <w:color w:val="000000"/>
              </w:rPr>
            </w:pPr>
            <w:r>
              <w:rPr>
                <w:color w:val="000000"/>
              </w:rPr>
              <w:t>O návrhu výdajů státního rozpočtu na r</w:t>
            </w:r>
            <w:r w:rsidR="00393C39">
              <w:rPr>
                <w:color w:val="000000"/>
              </w:rPr>
              <w:t>ok</w:t>
            </w:r>
            <w:r>
              <w:rPr>
                <w:color w:val="000000"/>
              </w:rPr>
              <w:t xml:space="preserve"> 2026 a střednědobý výhled na léta 2027 a 2028 stále probíhají jednání, </w:t>
            </w:r>
            <w:r w:rsidRPr="007C28AA">
              <w:rPr>
                <w:b/>
                <w:bCs/>
                <w:color w:val="000000"/>
              </w:rPr>
              <w:t>ze zákona má vláda předložit schválený návrh Poslanecké sněmovně do</w:t>
            </w:r>
            <w:r w:rsidR="00393C39" w:rsidRPr="007C28AA">
              <w:rPr>
                <w:b/>
                <w:bCs/>
                <w:color w:val="000000"/>
              </w:rPr>
              <w:t> </w:t>
            </w:r>
            <w:r w:rsidRPr="007C28AA">
              <w:rPr>
                <w:b/>
                <w:bCs/>
                <w:color w:val="000000"/>
              </w:rPr>
              <w:t>30.</w:t>
            </w:r>
            <w:r w:rsidR="00393C39" w:rsidRPr="007C28AA">
              <w:rPr>
                <w:b/>
                <w:bCs/>
                <w:color w:val="000000"/>
              </w:rPr>
              <w:t> </w:t>
            </w:r>
            <w:r w:rsidR="007608CC" w:rsidRPr="007C28AA">
              <w:rPr>
                <w:b/>
                <w:bCs/>
                <w:color w:val="000000"/>
              </w:rPr>
              <w:t>září</w:t>
            </w:r>
            <w:r w:rsidR="00393C39" w:rsidRPr="007C28AA">
              <w:rPr>
                <w:b/>
                <w:bCs/>
                <w:color w:val="000000"/>
              </w:rPr>
              <w:t> </w:t>
            </w:r>
            <w:r w:rsidRPr="007C28AA">
              <w:rPr>
                <w:b/>
                <w:bCs/>
                <w:color w:val="000000"/>
              </w:rPr>
              <w:t>2025.</w:t>
            </w:r>
          </w:p>
        </w:tc>
      </w:tr>
      <w:tr w:rsidR="005241A2" w:rsidRPr="00DE2BC0" w14:paraId="75C92EC1" w14:textId="77777777" w:rsidTr="005241A2">
        <w:trPr>
          <w:trHeight w:val="965"/>
        </w:trPr>
        <w:tc>
          <w:tcPr>
            <w:tcW w:w="960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65A55873" w14:textId="77777777" w:rsidR="005241A2" w:rsidRPr="00AB734E" w:rsidRDefault="005241A2" w:rsidP="005241A2">
            <w:pPr>
              <w:spacing w:before="120" w:after="120"/>
              <w:rPr>
                <w:b/>
                <w:bCs/>
                <w:i/>
              </w:rPr>
            </w:pPr>
            <w:r w:rsidRPr="00AB734E">
              <w:rPr>
                <w:b/>
                <w:bCs/>
                <w:i/>
              </w:rPr>
              <w:lastRenderedPageBreak/>
              <w:t>Přílohy</w:t>
            </w:r>
          </w:p>
          <w:p w14:paraId="6C458E34" w14:textId="62CC36EA" w:rsidR="006B1D89" w:rsidRPr="006B1D89" w:rsidRDefault="006B1D89" w:rsidP="0038443E">
            <w:pPr>
              <w:pStyle w:val="Odstavecseseznamem"/>
              <w:numPr>
                <w:ilvl w:val="0"/>
                <w:numId w:val="12"/>
              </w:numPr>
              <w:spacing w:before="120" w:after="120" w:line="240" w:lineRule="auto"/>
              <w:contextualSpacing w:val="0"/>
              <w:rPr>
                <w:bCs/>
              </w:rPr>
            </w:pPr>
            <w:r>
              <w:rPr>
                <w:bCs/>
              </w:rPr>
              <w:t>Návrh zákona o státním rozpočtu ČR na rok 2026 (materiál vložený Ministerstvem financí do</w:t>
            </w:r>
            <w:r w:rsidR="00393C39">
              <w:rPr>
                <w:bCs/>
              </w:rPr>
              <w:t> </w:t>
            </w:r>
            <w:proofErr w:type="spellStart"/>
            <w:r>
              <w:rPr>
                <w:bCs/>
              </w:rPr>
              <w:t>eKlep</w:t>
            </w:r>
            <w:proofErr w:type="spellEnd"/>
            <w:r>
              <w:rPr>
                <w:bCs/>
              </w:rPr>
              <w:t xml:space="preserve"> dne 31. 8. 2025)</w:t>
            </w:r>
          </w:p>
          <w:p w14:paraId="114E4F2B" w14:textId="2202FF5E" w:rsidR="0038443E" w:rsidRPr="00427D60" w:rsidRDefault="0038443E" w:rsidP="0038443E">
            <w:pPr>
              <w:pStyle w:val="Odstavecseseznamem"/>
              <w:numPr>
                <w:ilvl w:val="0"/>
                <w:numId w:val="12"/>
              </w:numPr>
              <w:spacing w:before="120" w:after="120" w:line="240" w:lineRule="auto"/>
              <w:contextualSpacing w:val="0"/>
              <w:rPr>
                <w:bCs/>
              </w:rPr>
            </w:pPr>
            <w:r w:rsidRPr="008E23A9">
              <w:t xml:space="preserve">Návrh výdajů </w:t>
            </w:r>
            <w:r w:rsidR="006C1B99">
              <w:t xml:space="preserve">SR </w:t>
            </w:r>
            <w:r w:rsidR="006B1D89">
              <w:t xml:space="preserve">na </w:t>
            </w:r>
            <w:proofErr w:type="spellStart"/>
            <w:r w:rsidR="006B1D89">
              <w:t>VaVaI</w:t>
            </w:r>
            <w:proofErr w:type="spellEnd"/>
            <w:r w:rsidR="006B1D89">
              <w:t xml:space="preserve"> </w:t>
            </w:r>
            <w:r w:rsidRPr="008E23A9">
              <w:t>na rok 20</w:t>
            </w:r>
            <w:r>
              <w:t>26</w:t>
            </w:r>
            <w:r w:rsidRPr="008E23A9">
              <w:t xml:space="preserve"> s</w:t>
            </w:r>
            <w:r>
              <w:t>e střednědobým</w:t>
            </w:r>
            <w:r w:rsidRPr="008E23A9">
              <w:t> výhledem na léta 20</w:t>
            </w:r>
            <w:r>
              <w:t>27</w:t>
            </w:r>
            <w:r w:rsidRPr="008E23A9">
              <w:t xml:space="preserve"> a </w:t>
            </w:r>
            <w:r>
              <w:t xml:space="preserve">2028 </w:t>
            </w:r>
            <w:r w:rsidR="00A27B07">
              <w:t xml:space="preserve">(srovnání SDV s návrhem Rady a návrhem </w:t>
            </w:r>
            <w:r>
              <w:t>předložený</w:t>
            </w:r>
            <w:r w:rsidR="00A27B07">
              <w:t>m</w:t>
            </w:r>
            <w:r>
              <w:t xml:space="preserve"> Ministerstvem financí vládě ČR dne 31. srpna 2025</w:t>
            </w:r>
            <w:r w:rsidR="00A27B07">
              <w:t>)</w:t>
            </w:r>
          </w:p>
          <w:p w14:paraId="25EE4EC7" w14:textId="1C5E3AF2" w:rsidR="00427D60" w:rsidRPr="006B1D89" w:rsidRDefault="00427D60" w:rsidP="0038443E">
            <w:pPr>
              <w:pStyle w:val="Odstavecseseznamem"/>
              <w:numPr>
                <w:ilvl w:val="0"/>
                <w:numId w:val="12"/>
              </w:numPr>
              <w:spacing w:before="120" w:after="120" w:line="240" w:lineRule="auto"/>
              <w:contextualSpacing w:val="0"/>
              <w:rPr>
                <w:bCs/>
              </w:rPr>
            </w:pPr>
            <w:r>
              <w:rPr>
                <w:bCs/>
              </w:rPr>
              <w:t xml:space="preserve">Komentář MŠMT k návrhu výdajů na </w:t>
            </w:r>
            <w:proofErr w:type="spellStart"/>
            <w:r>
              <w:rPr>
                <w:bCs/>
              </w:rPr>
              <w:t>VaVaI</w:t>
            </w:r>
            <w:proofErr w:type="spellEnd"/>
            <w:r>
              <w:rPr>
                <w:bCs/>
              </w:rPr>
              <w:t xml:space="preserve"> </w:t>
            </w:r>
            <w:r w:rsidR="00307CC8">
              <w:rPr>
                <w:bCs/>
              </w:rPr>
              <w:t>předložený</w:t>
            </w:r>
            <w:r>
              <w:rPr>
                <w:bCs/>
              </w:rPr>
              <w:t xml:space="preserve"> M</w:t>
            </w:r>
            <w:r w:rsidR="00307CC8">
              <w:rPr>
                <w:bCs/>
              </w:rPr>
              <w:t>inisterstvem financí</w:t>
            </w:r>
          </w:p>
          <w:p w14:paraId="133F1304" w14:textId="5590DD1A" w:rsidR="00FD3B62" w:rsidRPr="007608CC" w:rsidRDefault="006B1D89" w:rsidP="007608CC">
            <w:pPr>
              <w:pStyle w:val="Odstavecseseznamem"/>
              <w:numPr>
                <w:ilvl w:val="0"/>
                <w:numId w:val="12"/>
              </w:numPr>
              <w:spacing w:before="120" w:after="120" w:line="240" w:lineRule="auto"/>
              <w:contextualSpacing w:val="0"/>
              <w:rPr>
                <w:bCs/>
              </w:rPr>
            </w:pPr>
            <w:r>
              <w:t>Nároky z nespotřebovaných výdajů</w:t>
            </w:r>
            <w:r w:rsidR="002B0B89">
              <w:t xml:space="preserve"> k 2.</w:t>
            </w:r>
            <w:r w:rsidR="00393C39">
              <w:t xml:space="preserve"> </w:t>
            </w:r>
            <w:r w:rsidR="002B0B89">
              <w:t>9.</w:t>
            </w:r>
            <w:r w:rsidR="00393C39">
              <w:t xml:space="preserve"> </w:t>
            </w:r>
            <w:r w:rsidR="002B0B89">
              <w:t>2025</w:t>
            </w:r>
          </w:p>
        </w:tc>
      </w:tr>
      <w:tr w:rsidR="005241A2" w:rsidRPr="00DE2BC0" w14:paraId="644417FF" w14:textId="77777777" w:rsidTr="005241A2">
        <w:trPr>
          <w:trHeight w:val="1757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4213AC0E" w14:textId="7FF2A813" w:rsidR="005241A2" w:rsidRPr="00AB734E" w:rsidRDefault="005241A2" w:rsidP="005241A2">
            <w:pPr>
              <w:spacing w:before="120" w:after="120"/>
              <w:rPr>
                <w:b/>
                <w:bCs/>
                <w:i/>
              </w:rPr>
            </w:pPr>
            <w:r w:rsidRPr="00AB734E">
              <w:rPr>
                <w:b/>
                <w:bCs/>
                <w:i/>
              </w:rPr>
              <w:t>Návrh usnesení</w:t>
            </w:r>
          </w:p>
          <w:p w14:paraId="07BC7E5D" w14:textId="485B2F54" w:rsidR="005241A2" w:rsidRDefault="005241A2" w:rsidP="005241A2">
            <w:pPr>
              <w:autoSpaceDE w:val="0"/>
              <w:autoSpaceDN w:val="0"/>
              <w:adjustRightInd w:val="0"/>
              <w:spacing w:after="120"/>
            </w:pPr>
            <w:r w:rsidRPr="00AB734E">
              <w:rPr>
                <w:color w:val="000000"/>
              </w:rPr>
              <w:t>Rada</w:t>
            </w:r>
          </w:p>
          <w:p w14:paraId="69625442" w14:textId="7DEB3248" w:rsidR="00CE7BD7" w:rsidRPr="00514365" w:rsidRDefault="00CE7BD7" w:rsidP="00514365">
            <w:pPr>
              <w:pStyle w:val="Odstavecseseznamem1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120" w:after="120" w:line="240" w:lineRule="auto"/>
              <w:contextualSpacing w:val="0"/>
              <w:jc w:val="both"/>
              <w:rPr>
                <w:rFonts w:ascii="Aptos" w:hAnsi="Aptos" w:cs="Segoe UI"/>
                <w:color w:val="000000"/>
                <w:sz w:val="24"/>
                <w:szCs w:val="24"/>
                <w:lang w:eastAsia="cs-CZ"/>
              </w:rPr>
            </w:pPr>
            <w:r w:rsidRPr="00514365">
              <w:rPr>
                <w:rFonts w:ascii="Aptos" w:hAnsi="Aptos" w:cs="Segoe UI"/>
                <w:color w:val="000000"/>
                <w:sz w:val="24"/>
                <w:szCs w:val="24"/>
                <w:lang w:eastAsia="cs-CZ"/>
              </w:rPr>
              <w:t xml:space="preserve">vyjadřuje podporu předsedovi RVVI a ministrovi pro vědu, výzkum a inovace v jednáních o návrhu výdajů státního rozpočtu ČR na </w:t>
            </w:r>
            <w:proofErr w:type="spellStart"/>
            <w:r w:rsidRPr="00514365">
              <w:rPr>
                <w:rFonts w:ascii="Aptos" w:hAnsi="Aptos" w:cs="Segoe UI"/>
                <w:color w:val="000000"/>
                <w:sz w:val="24"/>
                <w:szCs w:val="24"/>
                <w:lang w:eastAsia="cs-CZ"/>
              </w:rPr>
              <w:t>VaVaI</w:t>
            </w:r>
            <w:proofErr w:type="spellEnd"/>
            <w:r w:rsidRPr="00514365">
              <w:rPr>
                <w:rFonts w:ascii="Aptos" w:hAnsi="Aptos" w:cs="Segoe UI"/>
                <w:color w:val="000000"/>
                <w:sz w:val="24"/>
                <w:szCs w:val="24"/>
                <w:lang w:eastAsia="cs-CZ"/>
              </w:rPr>
              <w:t xml:space="preserve"> na rok 2026,</w:t>
            </w:r>
          </w:p>
          <w:p w14:paraId="7C475D76" w14:textId="50DDC74E" w:rsidR="00CE7BD7" w:rsidRPr="00CE7BD7" w:rsidRDefault="00CE7BD7" w:rsidP="00CE7BD7">
            <w:pPr>
              <w:numPr>
                <w:ilvl w:val="0"/>
                <w:numId w:val="13"/>
              </w:numPr>
              <w:shd w:val="clear" w:color="auto" w:fill="FFFFFF"/>
              <w:tabs>
                <w:tab w:val="num" w:pos="720"/>
              </w:tabs>
              <w:spacing w:after="160" w:line="257" w:lineRule="atLeast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CE7BD7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 xml:space="preserve">upozorňuje s ohledem na víceletý charakter financování na potřebu řešit oblast střednědobého výhledu návrhu výdajů státního rozpočtu ČR na </w:t>
            </w:r>
            <w:proofErr w:type="spellStart"/>
            <w:r w:rsidRPr="00CE7BD7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VaVaI</w:t>
            </w:r>
            <w:proofErr w:type="spellEnd"/>
            <w:r w:rsidRPr="00CE7BD7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 xml:space="preserve"> na léta 2027 a</w:t>
            </w:r>
            <w:r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 </w:t>
            </w:r>
            <w:r w:rsidRPr="00CE7BD7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2028, a to v souladu s usnesením vlády č. 416 ze dne 11. června 2025</w:t>
            </w:r>
            <w:r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,</w:t>
            </w:r>
          </w:p>
          <w:p w14:paraId="2728D36F" w14:textId="1B90D394" w:rsidR="00CE7BD7" w:rsidRPr="00CE7BD7" w:rsidRDefault="00CE7BD7" w:rsidP="00CE7BD7">
            <w:pPr>
              <w:numPr>
                <w:ilvl w:val="0"/>
                <w:numId w:val="13"/>
              </w:numPr>
              <w:shd w:val="clear" w:color="auto" w:fill="FFFFFF"/>
              <w:tabs>
                <w:tab w:val="num" w:pos="720"/>
              </w:tabs>
              <w:spacing w:after="160" w:line="257" w:lineRule="atLeast"/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</w:pPr>
            <w:r w:rsidRPr="00CE7BD7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 xml:space="preserve">upozorňuje, že nároky z nespotřebovaných výdajů na </w:t>
            </w:r>
            <w:proofErr w:type="spellStart"/>
            <w:r w:rsidRPr="00CE7BD7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VaVaI</w:t>
            </w:r>
            <w:proofErr w:type="spellEnd"/>
            <w:r w:rsidRPr="00CE7BD7"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 xml:space="preserve"> jsou prostředky smluvně nebo jinak účelově vázané a zajištují možnost víceletého financování</w:t>
            </w:r>
            <w:r>
              <w:rPr>
                <w:rFonts w:ascii="Aptos" w:eastAsia="Times New Roman" w:hAnsi="Aptos" w:cs="Segoe UI"/>
                <w:color w:val="000000"/>
                <w:kern w:val="0"/>
                <w:sz w:val="24"/>
                <w:szCs w:val="24"/>
                <w:lang w:eastAsia="cs-CZ"/>
                <w14:ligatures w14:val="none"/>
              </w:rPr>
              <w:t>.</w:t>
            </w:r>
          </w:p>
        </w:tc>
      </w:tr>
      <w:tr w:rsidR="005241A2" w:rsidRPr="00DE2BC0" w14:paraId="0F2E0D36" w14:textId="77777777" w:rsidTr="0038443E">
        <w:trPr>
          <w:trHeight w:val="1148"/>
        </w:trPr>
        <w:tc>
          <w:tcPr>
            <w:tcW w:w="960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14:paraId="23598734" w14:textId="77777777" w:rsidR="005241A2" w:rsidRDefault="005241A2" w:rsidP="005241A2">
            <w:pPr>
              <w:spacing w:before="120" w:after="120"/>
              <w:rPr>
                <w:b/>
                <w:i/>
              </w:rPr>
            </w:pPr>
            <w:r w:rsidRPr="00CE7925">
              <w:rPr>
                <w:b/>
                <w:i/>
              </w:rPr>
              <w:t>Provede</w:t>
            </w:r>
          </w:p>
          <w:p w14:paraId="3CA48924" w14:textId="273716B5" w:rsidR="005241A2" w:rsidRPr="00CE7925" w:rsidRDefault="005241A2" w:rsidP="005241A2">
            <w:pPr>
              <w:spacing w:before="120" w:after="120"/>
              <w:rPr>
                <w:b/>
                <w:bCs/>
                <w:i/>
              </w:rPr>
            </w:pPr>
            <w:r>
              <w:t>Sekce pro vědu, výzkum a inovace</w:t>
            </w:r>
          </w:p>
        </w:tc>
      </w:tr>
    </w:tbl>
    <w:p w14:paraId="7DCA7EA4" w14:textId="5E3A4784" w:rsidR="00144F5B" w:rsidRDefault="00144F5B" w:rsidP="00E62942">
      <w:pPr>
        <w:pStyle w:val="Bezmezer"/>
        <w:jc w:val="left"/>
      </w:pPr>
    </w:p>
    <w:p w14:paraId="67A5831D" w14:textId="5E01A271" w:rsidR="00E62942" w:rsidRDefault="00E62942" w:rsidP="00E62942">
      <w:pPr>
        <w:pStyle w:val="Bezmezer"/>
        <w:jc w:val="left"/>
      </w:pPr>
    </w:p>
    <w:sectPr w:rsidR="00E62942" w:rsidSect="001A03D6"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721808" w14:textId="77777777" w:rsidR="007A6DAE" w:rsidRDefault="007A6DAE" w:rsidP="00604B45">
      <w:r>
        <w:separator/>
      </w:r>
    </w:p>
  </w:endnote>
  <w:endnote w:type="continuationSeparator" w:id="0">
    <w:p w14:paraId="0FC0CE72" w14:textId="77777777" w:rsidR="007A6DAE" w:rsidRDefault="007A6DAE" w:rsidP="00604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1294765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3E11C2DC" w14:textId="7FEAC229" w:rsidR="00D266C9" w:rsidRPr="00144F5B" w:rsidRDefault="00D53021">
            <w:pPr>
              <w:pStyle w:val="Zpat"/>
              <w:rPr>
                <w:sz w:val="16"/>
                <w:szCs w:val="16"/>
              </w:rPr>
            </w:pPr>
            <w:r w:rsidRPr="00144F5B">
              <w:rPr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2620EE" wp14:editId="29CA281F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36E13E" id="Přímá spojnice 2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PZmI7N0AAAAIAQAADwAAAGRycy9k&#10;b3ducmV2LnhtbEyPQU/DMAyF70j8h8hIXNCWDsTEStMJgeBQicPGdk8b0xYSpyTZVvj1eNIkuNl+&#10;T8/fK5ajs2KPIfaeFMymGQikxpueWgWbt+fJHYiYNBltPaGCb4ywLM/PCp0bf6AV7tepFRxCMdcK&#10;upSGXMrYdOh0nPoBibV3H5xOvIZWmqAPHO6svM6yuXS6J/7Q6QEfO2w+1zunYFu93Lqv+iqMrx+b&#10;nyc7VKu6rZS6vBgf7kEkHNOfGY74jA4lM9V+RyYKq4CLJAWT2Q0XYHkxPw716SLLQv4vUP4C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PZmI7N0AAAAIAQAADwAAAAAAAAAAAAAAAAAY&#10;BAAAZHJzL2Rvd25yZXYueG1sUEsFBgAAAAAEAAQA8wAAACIFAAAAAA==&#10;" strokecolor="#161a48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 w:rsidR="00144F5B" w:rsidRPr="00144F5B">
              <w:rPr>
                <w:sz w:val="16"/>
                <w:szCs w:val="16"/>
              </w:rPr>
              <w:t>4</w:t>
            </w:r>
            <w:r w:rsidR="00AE315E">
              <w:rPr>
                <w:sz w:val="16"/>
                <w:szCs w:val="16"/>
              </w:rPr>
              <w:t>14</w:t>
            </w:r>
            <w:r w:rsidR="00144F5B" w:rsidRPr="00144F5B">
              <w:rPr>
                <w:sz w:val="16"/>
                <w:szCs w:val="16"/>
              </w:rPr>
              <w:t>/A</w:t>
            </w:r>
            <w:r w:rsidR="00AE315E">
              <w:rPr>
                <w:sz w:val="16"/>
                <w:szCs w:val="16"/>
              </w:rPr>
              <w:t>7</w:t>
            </w:r>
            <w:r w:rsidR="00144F5B">
              <w:t xml:space="preserve"> </w:t>
            </w:r>
            <w:r w:rsidR="00AE315E">
              <w:rPr>
                <w:sz w:val="16"/>
                <w:szCs w:val="16"/>
              </w:rPr>
              <w:t xml:space="preserve">Informace o návrhu výdajů SR na </w:t>
            </w:r>
            <w:proofErr w:type="spellStart"/>
            <w:r w:rsidR="00AE315E">
              <w:rPr>
                <w:sz w:val="16"/>
                <w:szCs w:val="16"/>
              </w:rPr>
              <w:t>VaVaI</w:t>
            </w:r>
            <w:proofErr w:type="spellEnd"/>
            <w:r w:rsidR="00AE315E">
              <w:rPr>
                <w:sz w:val="16"/>
                <w:szCs w:val="16"/>
              </w:rPr>
              <w:t xml:space="preserve"> 2026+</w:t>
            </w:r>
            <w:r w:rsidR="00144F5B">
              <w:tab/>
            </w:r>
            <w:r w:rsidR="00144F5B">
              <w:tab/>
            </w:r>
            <w:r w:rsidR="00D266C9" w:rsidRPr="004E6BE1">
              <w:rPr>
                <w:sz w:val="16"/>
                <w:szCs w:val="16"/>
              </w:rPr>
              <w:t xml:space="preserve">Stránka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PAGE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D266C9" w:rsidRPr="004E6BE1">
              <w:rPr>
                <w:sz w:val="16"/>
                <w:szCs w:val="16"/>
              </w:rPr>
              <w:t xml:space="preserve"> </w:t>
            </w:r>
            <w:r w:rsidR="004E6BE1" w:rsidRPr="004E6BE1">
              <w:rPr>
                <w:sz w:val="16"/>
                <w:szCs w:val="16"/>
              </w:rPr>
              <w:t xml:space="preserve">(celkem </w:t>
            </w:r>
            <w:r w:rsidR="00D266C9" w:rsidRPr="004E6BE1">
              <w:rPr>
                <w:sz w:val="16"/>
                <w:szCs w:val="16"/>
              </w:rPr>
              <w:fldChar w:fldCharType="begin"/>
            </w:r>
            <w:r w:rsidR="00D266C9" w:rsidRPr="004E6BE1">
              <w:rPr>
                <w:sz w:val="16"/>
                <w:szCs w:val="16"/>
              </w:rPr>
              <w:instrText>NUMPAGES</w:instrText>
            </w:r>
            <w:r w:rsidR="00D266C9" w:rsidRPr="004E6BE1">
              <w:rPr>
                <w:sz w:val="16"/>
                <w:szCs w:val="16"/>
              </w:rPr>
              <w:fldChar w:fldCharType="separate"/>
            </w:r>
            <w:r w:rsidR="00D266C9" w:rsidRPr="004E6BE1">
              <w:rPr>
                <w:sz w:val="16"/>
                <w:szCs w:val="16"/>
              </w:rPr>
              <w:t>2</w:t>
            </w:r>
            <w:r w:rsidR="00D266C9" w:rsidRPr="004E6BE1">
              <w:rPr>
                <w:sz w:val="16"/>
                <w:szCs w:val="16"/>
              </w:rPr>
              <w:fldChar w:fldCharType="end"/>
            </w:r>
            <w:r w:rsidR="004E6BE1" w:rsidRPr="004E6BE1">
              <w:rPr>
                <w:sz w:val="16"/>
                <w:szCs w:val="16"/>
              </w:rPr>
              <w:t>)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F3" w14:textId="77777777" w:rsidR="00E56D04" w:rsidRPr="00E56D04" w:rsidRDefault="00D53021" w:rsidP="00126D7E">
    <w:pPr>
      <w:pStyle w:val="Zpat1"/>
    </w:pPr>
    <w:r w:rsidRPr="008120CD">
      <w:rPr>
        <w:noProof/>
        <w:color w:val="00206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3271372" wp14:editId="4D21D474">
              <wp:simplePos x="0" y="0"/>
              <wp:positionH relativeFrom="margin">
                <wp:align>left</wp:align>
              </wp:positionH>
              <wp:positionV relativeFrom="paragraph">
                <wp:posOffset>-138023</wp:posOffset>
              </wp:positionV>
              <wp:extent cx="6120130" cy="0"/>
              <wp:effectExtent l="0" t="0" r="0" b="0"/>
              <wp:wrapNone/>
              <wp:docPr id="1199492241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120130" cy="0"/>
                      </a:xfrm>
                      <a:prstGeom prst="line">
                        <a:avLst/>
                      </a:prstGeom>
                      <a:ln>
                        <a:solidFill>
                          <a:srgbClr val="161A4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57353B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-10.85pt" to="481.9pt,-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" strokecolor="#161a48" strokeweight=".5pt">
              <v:stroke joinstyle="miter"/>
              <w10:wrap anchorx="margin"/>
            </v:line>
          </w:pict>
        </mc:Fallback>
      </mc:AlternateContent>
    </w:r>
    <w:r w:rsidR="00E56D04" w:rsidRPr="00E56D04">
      <w:t>Úřad</w:t>
    </w:r>
    <w:r w:rsidR="00E56D04" w:rsidRPr="00E56D04">
      <w:rPr>
        <w:spacing w:val="-4"/>
      </w:rPr>
      <w:t xml:space="preserve"> </w:t>
    </w:r>
    <w:r w:rsidR="00E56D04" w:rsidRPr="00E56D04">
      <w:t>vlády</w:t>
    </w:r>
    <w:r w:rsidR="00E56D04" w:rsidRPr="00E56D04">
      <w:rPr>
        <w:spacing w:val="-4"/>
      </w:rPr>
      <w:t xml:space="preserve"> </w:t>
    </w:r>
    <w:r w:rsidR="00E56D04" w:rsidRPr="00E56D04">
      <w:t>České</w:t>
    </w:r>
    <w:r w:rsidR="00E56D04" w:rsidRPr="00E56D04">
      <w:rPr>
        <w:spacing w:val="-4"/>
      </w:rPr>
      <w:t xml:space="preserve"> </w:t>
    </w:r>
    <w:r w:rsidR="00E56D04" w:rsidRPr="00E56D04">
      <w:t>republiky,</w:t>
    </w:r>
    <w:r w:rsidR="00E56D04" w:rsidRPr="00E56D04">
      <w:rPr>
        <w:spacing w:val="-4"/>
      </w:rPr>
      <w:t xml:space="preserve"> </w:t>
    </w:r>
    <w:r w:rsidR="00E56D04" w:rsidRPr="00E56D04">
      <w:t>nábřeží</w:t>
    </w:r>
    <w:r w:rsidR="00E56D04" w:rsidRPr="00E56D04">
      <w:rPr>
        <w:spacing w:val="-4"/>
      </w:rPr>
      <w:t xml:space="preserve"> </w:t>
    </w:r>
    <w:r w:rsidR="00E56D04" w:rsidRPr="00E56D04">
      <w:t>Edvarda</w:t>
    </w:r>
    <w:r w:rsidR="00E56D04" w:rsidRPr="00E56D04">
      <w:rPr>
        <w:spacing w:val="-4"/>
      </w:rPr>
      <w:t xml:space="preserve"> </w:t>
    </w:r>
    <w:r w:rsidR="00E56D04" w:rsidRPr="00E56D04">
      <w:t>Beneše</w:t>
    </w:r>
    <w:r w:rsidR="00E56D04" w:rsidRPr="00E56D04">
      <w:rPr>
        <w:spacing w:val="-4"/>
      </w:rPr>
      <w:t xml:space="preserve"> </w:t>
    </w:r>
    <w:r w:rsidR="009B0370" w:rsidRPr="009B0370">
      <w:t>128/4</w:t>
    </w:r>
    <w:r w:rsidR="00E56D04" w:rsidRPr="00E56D04">
      <w:t>,</w:t>
    </w:r>
    <w:r w:rsidR="00E56D04" w:rsidRPr="00E56D04">
      <w:rPr>
        <w:spacing w:val="-4"/>
      </w:rPr>
      <w:t xml:space="preserve"> </w:t>
    </w:r>
    <w:r w:rsidR="00E56D04" w:rsidRPr="00E56D04">
      <w:t>118</w:t>
    </w:r>
    <w:r w:rsidR="00E56D04" w:rsidRPr="00E56D04">
      <w:rPr>
        <w:spacing w:val="-4"/>
      </w:rPr>
      <w:t xml:space="preserve"> </w:t>
    </w:r>
    <w:r w:rsidR="00E56D04" w:rsidRPr="00E56D04">
      <w:t>01</w:t>
    </w:r>
    <w:r w:rsidR="00E56D04" w:rsidRPr="00E56D04">
      <w:rPr>
        <w:spacing w:val="36"/>
      </w:rPr>
      <w:t xml:space="preserve"> </w:t>
    </w:r>
    <w:r w:rsidR="00E56D04" w:rsidRPr="00E56D04">
      <w:t>Praha</w:t>
    </w:r>
    <w:r w:rsidR="00E56D04" w:rsidRPr="00E56D04">
      <w:rPr>
        <w:spacing w:val="-4"/>
      </w:rPr>
      <w:t xml:space="preserve"> </w:t>
    </w:r>
    <w:r w:rsidR="00E56D04" w:rsidRPr="00E56D04">
      <w:rPr>
        <w:spacing w:val="-10"/>
      </w:rPr>
      <w:t>1</w:t>
    </w:r>
  </w:p>
  <w:p w14:paraId="4EC18CB5" w14:textId="77777777" w:rsidR="00E56D04" w:rsidRPr="00E56D04" w:rsidRDefault="00E56D04" w:rsidP="00126D7E">
    <w:pPr>
      <w:pStyle w:val="Zpat1"/>
    </w:pPr>
    <w:r w:rsidRPr="00E56D04">
      <w:t>ústředna</w:t>
    </w:r>
    <w:r w:rsidRPr="00E56D04">
      <w:rPr>
        <w:spacing w:val="-6"/>
      </w:rPr>
      <w:t xml:space="preserve"> </w:t>
    </w:r>
    <w:r w:rsidRPr="00E56D04">
      <w:t>224</w:t>
    </w:r>
    <w:r w:rsidRPr="00E56D04">
      <w:rPr>
        <w:spacing w:val="-6"/>
      </w:rPr>
      <w:t xml:space="preserve"> </w:t>
    </w:r>
    <w:r w:rsidRPr="00E56D04">
      <w:t>002</w:t>
    </w:r>
    <w:r w:rsidRPr="00E56D04">
      <w:rPr>
        <w:spacing w:val="-6"/>
      </w:rPr>
      <w:t xml:space="preserve"> </w:t>
    </w:r>
    <w:r w:rsidRPr="00E56D04">
      <w:t>111,</w:t>
    </w:r>
    <w:r w:rsidRPr="00E56D04">
      <w:rPr>
        <w:spacing w:val="-5"/>
      </w:rPr>
      <w:t xml:space="preserve"> </w:t>
    </w:r>
    <w:r w:rsidR="001C1526" w:rsidRPr="001C1526">
      <w:t>posta@vlada.gov.cz,</w:t>
    </w:r>
    <w:r w:rsidRPr="00E56D04">
      <w:rPr>
        <w:spacing w:val="-6"/>
      </w:rPr>
      <w:t xml:space="preserve"> </w:t>
    </w:r>
    <w:r w:rsidRPr="00E56D04">
      <w:t>datová</w:t>
    </w:r>
    <w:r w:rsidRPr="00E56D04">
      <w:rPr>
        <w:spacing w:val="-6"/>
      </w:rPr>
      <w:t xml:space="preserve"> </w:t>
    </w:r>
    <w:r w:rsidRPr="00E56D04">
      <w:t>schránka:</w:t>
    </w:r>
    <w:r w:rsidRPr="00E56D04">
      <w:rPr>
        <w:spacing w:val="-5"/>
      </w:rPr>
      <w:t xml:space="preserve"> </w:t>
    </w:r>
    <w:r w:rsidRPr="00E56D04">
      <w:rPr>
        <w:spacing w:val="-2"/>
      </w:rPr>
      <w:t>trfaa33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A20E5D" w14:textId="77777777" w:rsidR="007A6DAE" w:rsidRDefault="007A6DAE" w:rsidP="00604B45">
      <w:r>
        <w:separator/>
      </w:r>
    </w:p>
  </w:footnote>
  <w:footnote w:type="continuationSeparator" w:id="0">
    <w:p w14:paraId="23A578B3" w14:textId="77777777" w:rsidR="007A6DAE" w:rsidRDefault="007A6DAE" w:rsidP="00604B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1486B" w14:textId="77777777" w:rsidR="006F1181" w:rsidRDefault="006F1181">
    <w:pPr>
      <w:pStyle w:val="Zhlav"/>
    </w:pPr>
    <w:r>
      <w:rPr>
        <w:noProof/>
      </w:rPr>
      <w:drawing>
        <wp:anchor distT="152400" distB="152400" distL="152400" distR="152400" simplePos="0" relativeHeight="251659264" behindDoc="1" locked="1" layoutInCell="1" allowOverlap="0" wp14:anchorId="4B72090C" wp14:editId="70D1FEC1">
          <wp:simplePos x="0" y="0"/>
          <wp:positionH relativeFrom="margin">
            <wp:align>left</wp:align>
          </wp:positionH>
          <wp:positionV relativeFrom="topMargin">
            <wp:posOffset>396240</wp:posOffset>
          </wp:positionV>
          <wp:extent cx="2206800" cy="6480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800" cy="6480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B2578"/>
    <w:multiLevelType w:val="hybridMultilevel"/>
    <w:tmpl w:val="2B664354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F309E"/>
    <w:multiLevelType w:val="hybridMultilevel"/>
    <w:tmpl w:val="81343948"/>
    <w:lvl w:ilvl="0" w:tplc="F1280F20">
      <w:start w:val="1"/>
      <w:numFmt w:val="decimal"/>
      <w:lvlText w:val="A%1)"/>
      <w:lvlJc w:val="left"/>
      <w:pPr>
        <w:tabs>
          <w:tab w:val="num" w:pos="1779"/>
        </w:tabs>
        <w:ind w:left="1779" w:hanging="360"/>
      </w:pPr>
      <w:rPr>
        <w:rFonts w:hint="default"/>
        <w:b/>
        <w:i w:val="0"/>
        <w:sz w:val="22"/>
        <w:szCs w:val="22"/>
      </w:rPr>
    </w:lvl>
    <w:lvl w:ilvl="1" w:tplc="6CA0C894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/>
        <w:i w:val="0"/>
        <w:sz w:val="22"/>
        <w:szCs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" w15:restartNumberingAfterBreak="0">
    <w:nsid w:val="0C7C339D"/>
    <w:multiLevelType w:val="hybridMultilevel"/>
    <w:tmpl w:val="F806999E"/>
    <w:lvl w:ilvl="0" w:tplc="CDA85D8A">
      <w:start w:val="1"/>
      <w:numFmt w:val="decimal"/>
      <w:lvlText w:val="C%1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1" w:tplc="A92EF498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  <w:sz w:val="24"/>
        <w:szCs w:val="24"/>
      </w:rPr>
    </w:lvl>
    <w:lvl w:ilvl="2" w:tplc="94586762">
      <w:start w:val="4"/>
      <w:numFmt w:val="upperLetter"/>
      <w:lvlText w:val="%3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5" w15:restartNumberingAfterBreak="0">
    <w:nsid w:val="15786096"/>
    <w:multiLevelType w:val="hybridMultilevel"/>
    <w:tmpl w:val="3C748A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706B6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5142CB7"/>
    <w:multiLevelType w:val="hybridMultilevel"/>
    <w:tmpl w:val="EE92DF5C"/>
    <w:lvl w:ilvl="0" w:tplc="8D347312">
      <w:start w:val="1"/>
      <w:numFmt w:val="decimal"/>
      <w:pStyle w:val="slovn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46805D11"/>
    <w:multiLevelType w:val="hybridMultilevel"/>
    <w:tmpl w:val="2DBE44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8E78AA"/>
    <w:multiLevelType w:val="hybridMultilevel"/>
    <w:tmpl w:val="2776286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7F04DA"/>
    <w:multiLevelType w:val="hybridMultilevel"/>
    <w:tmpl w:val="F84C1D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AE71E3"/>
    <w:multiLevelType w:val="hybridMultilevel"/>
    <w:tmpl w:val="B88439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CD3136"/>
    <w:multiLevelType w:val="multilevel"/>
    <w:tmpl w:val="67767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2B9715F"/>
    <w:multiLevelType w:val="hybridMultilevel"/>
    <w:tmpl w:val="D8F6EC2C"/>
    <w:lvl w:ilvl="0" w:tplc="DF22B778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4D0D2C"/>
    <w:multiLevelType w:val="hybridMultilevel"/>
    <w:tmpl w:val="D616AF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D77EB8"/>
    <w:multiLevelType w:val="multilevel"/>
    <w:tmpl w:val="36F824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3105807">
    <w:abstractNumId w:val="6"/>
  </w:num>
  <w:num w:numId="2" w16cid:durableId="2081907147">
    <w:abstractNumId w:val="14"/>
  </w:num>
  <w:num w:numId="3" w16cid:durableId="1893038338">
    <w:abstractNumId w:val="7"/>
  </w:num>
  <w:num w:numId="4" w16cid:durableId="1786805665">
    <w:abstractNumId w:val="10"/>
  </w:num>
  <w:num w:numId="5" w16cid:durableId="1264728757">
    <w:abstractNumId w:val="15"/>
  </w:num>
  <w:num w:numId="6" w16cid:durableId="1901821760">
    <w:abstractNumId w:val="11"/>
  </w:num>
  <w:num w:numId="7" w16cid:durableId="124931050">
    <w:abstractNumId w:val="3"/>
  </w:num>
  <w:num w:numId="8" w16cid:durableId="42677174">
    <w:abstractNumId w:val="4"/>
  </w:num>
  <w:num w:numId="9" w16cid:durableId="2051147294">
    <w:abstractNumId w:val="17"/>
  </w:num>
  <w:num w:numId="10" w16cid:durableId="1837643966">
    <w:abstractNumId w:val="12"/>
  </w:num>
  <w:num w:numId="11" w16cid:durableId="796532185">
    <w:abstractNumId w:val="2"/>
  </w:num>
  <w:num w:numId="12" w16cid:durableId="2033064661">
    <w:abstractNumId w:val="8"/>
  </w:num>
  <w:num w:numId="13" w16cid:durableId="1833640677">
    <w:abstractNumId w:val="0"/>
  </w:num>
  <w:num w:numId="14" w16cid:durableId="2041513997">
    <w:abstractNumId w:val="1"/>
  </w:num>
  <w:num w:numId="15" w16cid:durableId="1251507277">
    <w:abstractNumId w:val="9"/>
  </w:num>
  <w:num w:numId="16" w16cid:durableId="453908003">
    <w:abstractNumId w:val="5"/>
  </w:num>
  <w:num w:numId="17" w16cid:durableId="1378048883">
    <w:abstractNumId w:val="16"/>
  </w:num>
  <w:num w:numId="18" w16cid:durableId="199128375">
    <w:abstractNumId w:val="13"/>
  </w:num>
  <w:num w:numId="19" w16cid:durableId="17115388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ABC"/>
    <w:rsid w:val="00004124"/>
    <w:rsid w:val="0002007D"/>
    <w:rsid w:val="00025617"/>
    <w:rsid w:val="00035ED7"/>
    <w:rsid w:val="000467DA"/>
    <w:rsid w:val="000511C2"/>
    <w:rsid w:val="00067378"/>
    <w:rsid w:val="00075C1E"/>
    <w:rsid w:val="0008087D"/>
    <w:rsid w:val="000859E4"/>
    <w:rsid w:val="00090E00"/>
    <w:rsid w:val="0009458F"/>
    <w:rsid w:val="000A6385"/>
    <w:rsid w:val="000A686B"/>
    <w:rsid w:val="000B1E5B"/>
    <w:rsid w:val="000C609C"/>
    <w:rsid w:val="000C6A0C"/>
    <w:rsid w:val="000D7556"/>
    <w:rsid w:val="000E1B1B"/>
    <w:rsid w:val="000E7A12"/>
    <w:rsid w:val="001044CD"/>
    <w:rsid w:val="00126D7E"/>
    <w:rsid w:val="00133C49"/>
    <w:rsid w:val="00142C11"/>
    <w:rsid w:val="00144F5B"/>
    <w:rsid w:val="00163B03"/>
    <w:rsid w:val="00171EF3"/>
    <w:rsid w:val="0018009E"/>
    <w:rsid w:val="00191B49"/>
    <w:rsid w:val="001A03D6"/>
    <w:rsid w:val="001A6A82"/>
    <w:rsid w:val="001A71C8"/>
    <w:rsid w:val="001A7FAA"/>
    <w:rsid w:val="001B0001"/>
    <w:rsid w:val="001B4D3D"/>
    <w:rsid w:val="001C1526"/>
    <w:rsid w:val="001C2E95"/>
    <w:rsid w:val="001C6179"/>
    <w:rsid w:val="001D0544"/>
    <w:rsid w:val="001D5F3B"/>
    <w:rsid w:val="001E1924"/>
    <w:rsid w:val="001F314A"/>
    <w:rsid w:val="001F517B"/>
    <w:rsid w:val="002107E9"/>
    <w:rsid w:val="002241CF"/>
    <w:rsid w:val="00242E30"/>
    <w:rsid w:val="00277734"/>
    <w:rsid w:val="00282845"/>
    <w:rsid w:val="002843FA"/>
    <w:rsid w:val="00293AEA"/>
    <w:rsid w:val="002A2A3E"/>
    <w:rsid w:val="002A2FD0"/>
    <w:rsid w:val="002A601F"/>
    <w:rsid w:val="002B0B89"/>
    <w:rsid w:val="002C0726"/>
    <w:rsid w:val="002D3C4B"/>
    <w:rsid w:val="002F19C4"/>
    <w:rsid w:val="002F3E4B"/>
    <w:rsid w:val="002F4F5C"/>
    <w:rsid w:val="00307CC8"/>
    <w:rsid w:val="00352CA6"/>
    <w:rsid w:val="00352DD8"/>
    <w:rsid w:val="00362F82"/>
    <w:rsid w:val="00383A75"/>
    <w:rsid w:val="0038443E"/>
    <w:rsid w:val="003870AA"/>
    <w:rsid w:val="003906D0"/>
    <w:rsid w:val="00393C39"/>
    <w:rsid w:val="003976A0"/>
    <w:rsid w:val="003A7B1B"/>
    <w:rsid w:val="003C04E9"/>
    <w:rsid w:val="003C6885"/>
    <w:rsid w:val="003D64A2"/>
    <w:rsid w:val="003E193E"/>
    <w:rsid w:val="00401A97"/>
    <w:rsid w:val="00420B23"/>
    <w:rsid w:val="00423662"/>
    <w:rsid w:val="0042761D"/>
    <w:rsid w:val="00427D60"/>
    <w:rsid w:val="004354D5"/>
    <w:rsid w:val="00441B47"/>
    <w:rsid w:val="00444127"/>
    <w:rsid w:val="00447ABC"/>
    <w:rsid w:val="00456550"/>
    <w:rsid w:val="00486CA7"/>
    <w:rsid w:val="004902B3"/>
    <w:rsid w:val="004970B3"/>
    <w:rsid w:val="004B51AE"/>
    <w:rsid w:val="004E6BE1"/>
    <w:rsid w:val="00510EA4"/>
    <w:rsid w:val="00512835"/>
    <w:rsid w:val="00514365"/>
    <w:rsid w:val="00515555"/>
    <w:rsid w:val="005241A2"/>
    <w:rsid w:val="00524CE5"/>
    <w:rsid w:val="00537022"/>
    <w:rsid w:val="00557389"/>
    <w:rsid w:val="005628A2"/>
    <w:rsid w:val="00564B89"/>
    <w:rsid w:val="0057409A"/>
    <w:rsid w:val="0057588F"/>
    <w:rsid w:val="005964E0"/>
    <w:rsid w:val="005A4C59"/>
    <w:rsid w:val="005C4D50"/>
    <w:rsid w:val="005D1635"/>
    <w:rsid w:val="00602F23"/>
    <w:rsid w:val="00604B45"/>
    <w:rsid w:val="006079D1"/>
    <w:rsid w:val="006255C0"/>
    <w:rsid w:val="00627E3D"/>
    <w:rsid w:val="00635765"/>
    <w:rsid w:val="00665E62"/>
    <w:rsid w:val="006878F0"/>
    <w:rsid w:val="00695E63"/>
    <w:rsid w:val="006A2FC6"/>
    <w:rsid w:val="006B1D89"/>
    <w:rsid w:val="006B2B00"/>
    <w:rsid w:val="006C1B99"/>
    <w:rsid w:val="006C3F7F"/>
    <w:rsid w:val="006F1181"/>
    <w:rsid w:val="007007A8"/>
    <w:rsid w:val="0070637D"/>
    <w:rsid w:val="0071047A"/>
    <w:rsid w:val="00722063"/>
    <w:rsid w:val="0072266C"/>
    <w:rsid w:val="00724B0A"/>
    <w:rsid w:val="0073233B"/>
    <w:rsid w:val="00733976"/>
    <w:rsid w:val="00735DE8"/>
    <w:rsid w:val="00741D89"/>
    <w:rsid w:val="007439F1"/>
    <w:rsid w:val="00745F2F"/>
    <w:rsid w:val="007608CC"/>
    <w:rsid w:val="00766AC5"/>
    <w:rsid w:val="007876AF"/>
    <w:rsid w:val="00793E02"/>
    <w:rsid w:val="007A407A"/>
    <w:rsid w:val="007A6DAE"/>
    <w:rsid w:val="007C28AA"/>
    <w:rsid w:val="007E2572"/>
    <w:rsid w:val="007E5BD4"/>
    <w:rsid w:val="007E6CA2"/>
    <w:rsid w:val="0080171F"/>
    <w:rsid w:val="00803160"/>
    <w:rsid w:val="008044E8"/>
    <w:rsid w:val="00811AC9"/>
    <w:rsid w:val="008120CD"/>
    <w:rsid w:val="0081613E"/>
    <w:rsid w:val="00832CA1"/>
    <w:rsid w:val="00840107"/>
    <w:rsid w:val="0084124B"/>
    <w:rsid w:val="00841C3F"/>
    <w:rsid w:val="008517B5"/>
    <w:rsid w:val="00855B4C"/>
    <w:rsid w:val="008560B3"/>
    <w:rsid w:val="00871B74"/>
    <w:rsid w:val="0088161A"/>
    <w:rsid w:val="008863A6"/>
    <w:rsid w:val="00887F71"/>
    <w:rsid w:val="0089638D"/>
    <w:rsid w:val="008A0704"/>
    <w:rsid w:val="008A3DC7"/>
    <w:rsid w:val="008A6944"/>
    <w:rsid w:val="008B60F3"/>
    <w:rsid w:val="008B6A3F"/>
    <w:rsid w:val="008C56A2"/>
    <w:rsid w:val="008E557D"/>
    <w:rsid w:val="008F6521"/>
    <w:rsid w:val="0090230E"/>
    <w:rsid w:val="0090482F"/>
    <w:rsid w:val="0090637C"/>
    <w:rsid w:val="0091473F"/>
    <w:rsid w:val="00915B70"/>
    <w:rsid w:val="009202D9"/>
    <w:rsid w:val="00945CB2"/>
    <w:rsid w:val="0095235B"/>
    <w:rsid w:val="0095565E"/>
    <w:rsid w:val="00990B90"/>
    <w:rsid w:val="009922C8"/>
    <w:rsid w:val="009B0370"/>
    <w:rsid w:val="009E228F"/>
    <w:rsid w:val="00A17B37"/>
    <w:rsid w:val="00A27B07"/>
    <w:rsid w:val="00A640A5"/>
    <w:rsid w:val="00A65C3C"/>
    <w:rsid w:val="00A75A40"/>
    <w:rsid w:val="00A822FF"/>
    <w:rsid w:val="00A84F49"/>
    <w:rsid w:val="00AA5C0F"/>
    <w:rsid w:val="00AB4A0A"/>
    <w:rsid w:val="00AB5597"/>
    <w:rsid w:val="00AC5DC9"/>
    <w:rsid w:val="00AE1069"/>
    <w:rsid w:val="00AE315E"/>
    <w:rsid w:val="00AE7303"/>
    <w:rsid w:val="00AF01A5"/>
    <w:rsid w:val="00AF4DF0"/>
    <w:rsid w:val="00AF502C"/>
    <w:rsid w:val="00AF5DE4"/>
    <w:rsid w:val="00B01CFE"/>
    <w:rsid w:val="00B0346A"/>
    <w:rsid w:val="00B11B33"/>
    <w:rsid w:val="00B20ED5"/>
    <w:rsid w:val="00B24765"/>
    <w:rsid w:val="00B33F61"/>
    <w:rsid w:val="00B415B3"/>
    <w:rsid w:val="00B445C0"/>
    <w:rsid w:val="00B45E88"/>
    <w:rsid w:val="00B67680"/>
    <w:rsid w:val="00B70266"/>
    <w:rsid w:val="00B73C81"/>
    <w:rsid w:val="00B80711"/>
    <w:rsid w:val="00BB2FAC"/>
    <w:rsid w:val="00BC1D89"/>
    <w:rsid w:val="00BC5C1F"/>
    <w:rsid w:val="00BC7F94"/>
    <w:rsid w:val="00BD17A6"/>
    <w:rsid w:val="00BE4E17"/>
    <w:rsid w:val="00C05BAF"/>
    <w:rsid w:val="00C27666"/>
    <w:rsid w:val="00C4014E"/>
    <w:rsid w:val="00C520B9"/>
    <w:rsid w:val="00C54A7F"/>
    <w:rsid w:val="00C674B4"/>
    <w:rsid w:val="00C71728"/>
    <w:rsid w:val="00C7658A"/>
    <w:rsid w:val="00C77162"/>
    <w:rsid w:val="00C84197"/>
    <w:rsid w:val="00C91565"/>
    <w:rsid w:val="00C92FC9"/>
    <w:rsid w:val="00CC1FD9"/>
    <w:rsid w:val="00CD5D12"/>
    <w:rsid w:val="00CE2C4E"/>
    <w:rsid w:val="00CE70B9"/>
    <w:rsid w:val="00CE7BD7"/>
    <w:rsid w:val="00D0212E"/>
    <w:rsid w:val="00D061BA"/>
    <w:rsid w:val="00D266C9"/>
    <w:rsid w:val="00D26EA4"/>
    <w:rsid w:val="00D321D6"/>
    <w:rsid w:val="00D36218"/>
    <w:rsid w:val="00D43F7D"/>
    <w:rsid w:val="00D53021"/>
    <w:rsid w:val="00D74354"/>
    <w:rsid w:val="00D85AA0"/>
    <w:rsid w:val="00D86AA3"/>
    <w:rsid w:val="00D914CD"/>
    <w:rsid w:val="00D94221"/>
    <w:rsid w:val="00DA045F"/>
    <w:rsid w:val="00DC2129"/>
    <w:rsid w:val="00DC5C64"/>
    <w:rsid w:val="00DD3E78"/>
    <w:rsid w:val="00DE4F80"/>
    <w:rsid w:val="00E0171D"/>
    <w:rsid w:val="00E06D18"/>
    <w:rsid w:val="00E304A2"/>
    <w:rsid w:val="00E373B9"/>
    <w:rsid w:val="00E43035"/>
    <w:rsid w:val="00E47EBE"/>
    <w:rsid w:val="00E56D04"/>
    <w:rsid w:val="00E62942"/>
    <w:rsid w:val="00E635EE"/>
    <w:rsid w:val="00E7179B"/>
    <w:rsid w:val="00E7321C"/>
    <w:rsid w:val="00E84580"/>
    <w:rsid w:val="00E8657D"/>
    <w:rsid w:val="00E93A5D"/>
    <w:rsid w:val="00EB05F2"/>
    <w:rsid w:val="00EB0799"/>
    <w:rsid w:val="00EB55AA"/>
    <w:rsid w:val="00EB5E4F"/>
    <w:rsid w:val="00EC0198"/>
    <w:rsid w:val="00EC2267"/>
    <w:rsid w:val="00ED2ED3"/>
    <w:rsid w:val="00ED7E4C"/>
    <w:rsid w:val="00EE66EE"/>
    <w:rsid w:val="00EE745A"/>
    <w:rsid w:val="00EF4F64"/>
    <w:rsid w:val="00F145AB"/>
    <w:rsid w:val="00F3487E"/>
    <w:rsid w:val="00F47E34"/>
    <w:rsid w:val="00F70093"/>
    <w:rsid w:val="00F8166B"/>
    <w:rsid w:val="00F84D65"/>
    <w:rsid w:val="00F86F06"/>
    <w:rsid w:val="00F966F1"/>
    <w:rsid w:val="00FA009E"/>
    <w:rsid w:val="00FB668D"/>
    <w:rsid w:val="00FB6A67"/>
    <w:rsid w:val="00FD3B62"/>
    <w:rsid w:val="00FD6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EC56C"/>
  <w15:chartTrackingRefBased/>
  <w15:docId w15:val="{68A97BBC-F5C8-40BC-9CBD-A98B5572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2CA6"/>
    <w:pPr>
      <w:spacing w:after="240" w:line="276" w:lineRule="auto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Vc"/>
    <w:next w:val="Normln"/>
    <w:link w:val="Nadpis1Char"/>
    <w:uiPriority w:val="9"/>
    <w:qFormat/>
    <w:rsid w:val="00E8657D"/>
    <w:pPr>
      <w:outlineLvl w:val="0"/>
    </w:p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1CFE"/>
    <w:pPr>
      <w:keepNext/>
      <w:keepLines/>
      <w:spacing w:before="240"/>
      <w:outlineLvl w:val="1"/>
    </w:pPr>
    <w:rPr>
      <w:rFonts w:eastAsiaTheme="majorEastAsia"/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78F0"/>
    <w:pPr>
      <w:keepNext/>
      <w:keepLines/>
      <w:spacing w:before="240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rsid w:val="00604B4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604B4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604B4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604B4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04B4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604B4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8657D"/>
    <w:rPr>
      <w:rFonts w:ascii="Arial" w:eastAsia="Arial" w:hAnsi="Arial" w:cs="Arial"/>
      <w:b/>
      <w:kern w:val="0"/>
      <w:sz w:val="28"/>
      <w:szCs w:val="22"/>
      <w14:ligatures w14:val="none"/>
    </w:rPr>
  </w:style>
  <w:style w:type="character" w:customStyle="1" w:styleId="Nadpis2Char">
    <w:name w:val="Nadpis 2 Char"/>
    <w:basedOn w:val="Standardnpsmoodstavce"/>
    <w:link w:val="Nadpis2"/>
    <w:uiPriority w:val="9"/>
    <w:rsid w:val="00B01CFE"/>
    <w:rPr>
      <w:rFonts w:ascii="Arial" w:eastAsiaTheme="majorEastAsia" w:hAnsi="Arial" w:cs="Arial"/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6878F0"/>
    <w:rPr>
      <w:rFonts w:ascii="Arial" w:eastAsiaTheme="majorEastAsia" w:hAnsi="Arial" w:cstheme="majorBidi"/>
      <w:b/>
      <w:bCs/>
      <w:sz w:val="22"/>
      <w:szCs w:val="22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604B45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604B45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604B4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604B4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04B4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604B4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rsid w:val="00604B4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604B4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rsid w:val="00604B4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604B4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rsid w:val="00604B4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604B45"/>
    <w:rPr>
      <w:i/>
      <w:iCs/>
      <w:color w:val="404040" w:themeColor="text1" w:themeTint="BF"/>
    </w:r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,Nad"/>
    <w:basedOn w:val="Normln"/>
    <w:link w:val="OdstavecseseznamemChar"/>
    <w:uiPriority w:val="34"/>
    <w:qFormat/>
    <w:rsid w:val="00604B4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rsid w:val="00604B45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rsid w:val="00604B4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604B45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rsid w:val="00604B45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04B45"/>
  </w:style>
  <w:style w:type="paragraph" w:styleId="Zpat">
    <w:name w:val="footer"/>
    <w:basedOn w:val="Normln"/>
    <w:link w:val="ZpatChar"/>
    <w:uiPriority w:val="99"/>
    <w:unhideWhenUsed/>
    <w:rsid w:val="0060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04B45"/>
  </w:style>
  <w:style w:type="paragraph" w:styleId="Bezmezer">
    <w:name w:val="No Spacing"/>
    <w:link w:val="BezmezerChar"/>
    <w:uiPriority w:val="1"/>
    <w:qFormat/>
    <w:rsid w:val="00604B45"/>
    <w:pPr>
      <w:spacing w:after="0" w:line="240" w:lineRule="auto"/>
      <w:jc w:val="both"/>
    </w:pPr>
    <w:rPr>
      <w:rFonts w:ascii="Arial" w:hAnsi="Arial" w:cs="Arial"/>
      <w:sz w:val="22"/>
      <w:szCs w:val="22"/>
    </w:rPr>
  </w:style>
  <w:style w:type="paragraph" w:customStyle="1" w:styleId="tvar">
    <w:name w:val="Útvar"/>
    <w:basedOn w:val="Normln"/>
    <w:link w:val="tvarChar"/>
    <w:uiPriority w:val="9"/>
    <w:qFormat/>
    <w:rsid w:val="00841C3F"/>
    <w:pPr>
      <w:spacing w:after="0"/>
    </w:pPr>
    <w:rPr>
      <w:rFonts w:eastAsia="Arial"/>
      <w:b/>
      <w:color w:val="161A48"/>
      <w:kern w:val="0"/>
      <w:sz w:val="28"/>
      <w14:ligatures w14:val="none"/>
    </w:rPr>
  </w:style>
  <w:style w:type="character" w:customStyle="1" w:styleId="tvarChar">
    <w:name w:val="Útvar Char"/>
    <w:basedOn w:val="ZhlavChar"/>
    <w:link w:val="tvar"/>
    <w:uiPriority w:val="9"/>
    <w:rsid w:val="00352CA6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paragraph" w:customStyle="1" w:styleId="Zpat1">
    <w:name w:val="Zápatí 1"/>
    <w:basedOn w:val="Normln"/>
    <w:link w:val="Zpat1Char"/>
    <w:uiPriority w:val="3"/>
    <w:qFormat/>
    <w:rsid w:val="00126D7E"/>
    <w:pPr>
      <w:widowControl w:val="0"/>
      <w:autoSpaceDE w:val="0"/>
      <w:autoSpaceDN w:val="0"/>
      <w:spacing w:after="0" w:line="240" w:lineRule="auto"/>
      <w:ind w:left="20"/>
      <w:jc w:val="left"/>
    </w:pPr>
    <w:rPr>
      <w:rFonts w:eastAsia="Arial"/>
      <w:color w:val="231F20"/>
      <w:kern w:val="0"/>
      <w:sz w:val="16"/>
      <w14:ligatures w14:val="none"/>
    </w:rPr>
  </w:style>
  <w:style w:type="character" w:customStyle="1" w:styleId="Zpat1Char">
    <w:name w:val="Zápatí 1 Char"/>
    <w:basedOn w:val="Standardnpsmoodstavce"/>
    <w:link w:val="Zpat1"/>
    <w:uiPriority w:val="3"/>
    <w:rsid w:val="00352CA6"/>
    <w:rPr>
      <w:rFonts w:ascii="Arial" w:eastAsia="Arial" w:hAnsi="Arial" w:cs="Arial"/>
      <w:color w:val="231F20"/>
      <w:kern w:val="0"/>
      <w:sz w:val="16"/>
      <w:szCs w:val="22"/>
      <w14:ligatures w14:val="none"/>
    </w:rPr>
  </w:style>
  <w:style w:type="paragraph" w:customStyle="1" w:styleId="Vc">
    <w:name w:val="Věc"/>
    <w:basedOn w:val="tvar"/>
    <w:link w:val="VcChar"/>
    <w:uiPriority w:val="2"/>
    <w:qFormat/>
    <w:rsid w:val="00E8657D"/>
    <w:pPr>
      <w:spacing w:before="240" w:after="240"/>
    </w:pPr>
    <w:rPr>
      <w:color w:val="auto"/>
    </w:rPr>
  </w:style>
  <w:style w:type="character" w:customStyle="1" w:styleId="VcChar">
    <w:name w:val="Věc Char"/>
    <w:basedOn w:val="tvarChar"/>
    <w:link w:val="Vc"/>
    <w:uiPriority w:val="2"/>
    <w:rsid w:val="00E8657D"/>
    <w:rPr>
      <w:rFonts w:ascii="Arial" w:eastAsia="Arial" w:hAnsi="Arial" w:cs="Arial"/>
      <w:b/>
      <w:color w:val="161A48"/>
      <w:kern w:val="0"/>
      <w:sz w:val="28"/>
      <w:szCs w:val="22"/>
      <w14:ligatures w14:val="none"/>
    </w:rPr>
  </w:style>
  <w:style w:type="table" w:styleId="Mkatabulky">
    <w:name w:val="Table Grid"/>
    <w:basedOn w:val="Normlntabulka"/>
    <w:uiPriority w:val="39"/>
    <w:rsid w:val="008963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2E95"/>
    <w:rPr>
      <w:color w:val="666666"/>
    </w:rPr>
  </w:style>
  <w:style w:type="character" w:styleId="Hypertextovodkaz">
    <w:name w:val="Hyperlink"/>
    <w:basedOn w:val="Standardnpsmoodstavce"/>
    <w:uiPriority w:val="99"/>
    <w:unhideWhenUsed/>
    <w:rsid w:val="001C1526"/>
    <w:rPr>
      <w:color w:val="467886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1C1526"/>
    <w:rPr>
      <w:color w:val="605E5C"/>
      <w:shd w:val="clear" w:color="auto" w:fill="E1DFDD"/>
    </w:rPr>
  </w:style>
  <w:style w:type="paragraph" w:styleId="Nadpisobsahu">
    <w:name w:val="TOC Heading"/>
    <w:basedOn w:val="Nadpis1"/>
    <w:next w:val="Normln"/>
    <w:uiPriority w:val="39"/>
    <w:unhideWhenUsed/>
    <w:qFormat/>
    <w:rsid w:val="00BE4E17"/>
    <w:pPr>
      <w:keepNext/>
      <w:keepLines/>
      <w:spacing w:after="0" w:line="259" w:lineRule="auto"/>
      <w:jc w:val="left"/>
      <w:outlineLvl w:val="9"/>
    </w:pPr>
    <w:rPr>
      <w:rFonts w:eastAsiaTheme="majorEastAsia" w:cstheme="majorBidi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878F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878F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878F0"/>
    <w:pPr>
      <w:spacing w:after="100"/>
      <w:ind w:left="440"/>
    </w:pPr>
  </w:style>
  <w:style w:type="paragraph" w:customStyle="1" w:styleId="Odrky">
    <w:name w:val="Odrážky"/>
    <w:basedOn w:val="Odstavecseseznamem"/>
    <w:link w:val="OdrkyChar"/>
    <w:uiPriority w:val="2"/>
    <w:qFormat/>
    <w:rsid w:val="005C4D50"/>
    <w:pPr>
      <w:numPr>
        <w:numId w:val="2"/>
      </w:numPr>
      <w:spacing w:after="120"/>
      <w:ind w:left="714" w:hanging="357"/>
      <w:contextualSpacing w:val="0"/>
    </w:p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,Nad Char"/>
    <w:basedOn w:val="Standardnpsmoodstavce"/>
    <w:link w:val="Odstavecseseznamem"/>
    <w:uiPriority w:val="34"/>
    <w:qFormat/>
    <w:rsid w:val="005C4D50"/>
    <w:rPr>
      <w:rFonts w:ascii="Arial" w:hAnsi="Arial" w:cs="Arial"/>
      <w:sz w:val="22"/>
      <w:szCs w:val="22"/>
    </w:rPr>
  </w:style>
  <w:style w:type="character" w:customStyle="1" w:styleId="OdrkyChar">
    <w:name w:val="Odrážky Char"/>
    <w:basedOn w:val="OdstavecseseznamemChar"/>
    <w:link w:val="Odrky"/>
    <w:uiPriority w:val="2"/>
    <w:rsid w:val="00352CA6"/>
    <w:rPr>
      <w:rFonts w:ascii="Arial" w:hAnsi="Arial" w:cs="Arial"/>
      <w:sz w:val="22"/>
      <w:szCs w:val="22"/>
    </w:rPr>
  </w:style>
  <w:style w:type="paragraph" w:customStyle="1" w:styleId="slovn">
    <w:name w:val="Číslování"/>
    <w:basedOn w:val="Odstavecseseznamem"/>
    <w:link w:val="slovnChar"/>
    <w:uiPriority w:val="2"/>
    <w:qFormat/>
    <w:rsid w:val="005C4D50"/>
    <w:pPr>
      <w:numPr>
        <w:numId w:val="3"/>
      </w:numPr>
      <w:spacing w:after="120"/>
      <w:ind w:left="714" w:hanging="357"/>
      <w:contextualSpacing w:val="0"/>
    </w:pPr>
  </w:style>
  <w:style w:type="character" w:customStyle="1" w:styleId="slovnChar">
    <w:name w:val="Číslování Char"/>
    <w:basedOn w:val="OdstavecseseznamemChar"/>
    <w:link w:val="slovn"/>
    <w:uiPriority w:val="2"/>
    <w:rsid w:val="00352CA6"/>
    <w:rPr>
      <w:rFonts w:ascii="Arial" w:hAnsi="Arial" w:cs="Arial"/>
      <w:sz w:val="22"/>
      <w:szCs w:val="22"/>
    </w:rPr>
  </w:style>
  <w:style w:type="character" w:customStyle="1" w:styleId="BezmezerChar">
    <w:name w:val="Bez mezer Char"/>
    <w:basedOn w:val="Standardnpsmoodstavce"/>
    <w:link w:val="Bezmezer"/>
    <w:uiPriority w:val="1"/>
    <w:rsid w:val="00B73C81"/>
    <w:rPr>
      <w:rFonts w:ascii="Arial" w:hAnsi="Arial" w:cs="Arial"/>
      <w:sz w:val="22"/>
      <w:szCs w:val="22"/>
    </w:rPr>
  </w:style>
  <w:style w:type="table" w:customStyle="1" w:styleId="VR">
    <w:name w:val="ÚVČR"/>
    <w:basedOn w:val="Profesionlntabulka"/>
    <w:uiPriority w:val="99"/>
    <w:rsid w:val="00D86AA3"/>
    <w:pPr>
      <w:spacing w:before="120" w:after="120" w:line="240" w:lineRule="auto"/>
    </w:pPr>
    <w:rPr>
      <w:rFonts w:ascii="Arial" w:hAnsi="Arial"/>
      <w:kern w:val="0"/>
      <w:sz w:val="22"/>
      <w:szCs w:val="20"/>
      <w:lang w:eastAsia="cs-CZ"/>
      <w14:ligatures w14:val="none"/>
    </w:rPr>
    <w:tblPr>
      <w:tblBorders>
        <w:top w:val="single" w:sz="4" w:space="0" w:color="161A48"/>
        <w:left w:val="single" w:sz="4" w:space="0" w:color="161A48"/>
        <w:bottom w:val="single" w:sz="4" w:space="0" w:color="161A48"/>
        <w:right w:val="single" w:sz="4" w:space="0" w:color="161A48"/>
        <w:insideH w:val="single" w:sz="4" w:space="0" w:color="161A48"/>
        <w:insideV w:val="single" w:sz="4" w:space="0" w:color="161A48"/>
      </w:tblBorders>
    </w:tblPr>
    <w:tcPr>
      <w:shd w:val="clear" w:color="auto" w:fill="FFFFFF" w:themeFill="background1"/>
      <w:vAlign w:val="center"/>
    </w:tcPr>
    <w:tblStylePr w:type="firstRow">
      <w:pPr>
        <w:wordWrap/>
        <w:jc w:val="center"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002060"/>
      </w:tcPr>
    </w:tblStylePr>
    <w:tblStylePr w:type="lastRow">
      <w:rPr>
        <w:rFonts w:ascii="Arial" w:hAnsi="Arial"/>
        <w:b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FFFFFF" w:themeFill="background1"/>
      </w:tcPr>
    </w:tblStylePr>
    <w:tblStylePr w:type="lastCol">
      <w:rPr>
        <w:rFonts w:ascii="Arial" w:hAnsi="Arial"/>
        <w:color w:val="FFFFFF" w:themeColor="background1"/>
        <w:sz w:val="22"/>
      </w:rPr>
      <w:tblPr/>
      <w:tcPr>
        <w:shd w:val="clear" w:color="auto" w:fill="002060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B73C81"/>
    <w:pPr>
      <w:spacing w:after="240" w:line="276" w:lineRule="auto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vtltabulkasmkou1zvraznn5">
    <w:name w:val="Grid Table 1 Light Accent 5"/>
    <w:basedOn w:val="Normlntabulka"/>
    <w:uiPriority w:val="46"/>
    <w:rsid w:val="00D86AA3"/>
    <w:pPr>
      <w:spacing w:after="0" w:line="240" w:lineRule="auto"/>
    </w:pPr>
    <w:tblPr>
      <w:tblStyleRowBandSize w:val="1"/>
      <w:tblStyleColBandSize w:val="1"/>
      <w:tblBorders>
        <w:top w:val="single" w:sz="4" w:space="0" w:color="E59EDC" w:themeColor="accent5" w:themeTint="66"/>
        <w:left w:val="single" w:sz="4" w:space="0" w:color="E59EDC" w:themeColor="accent5" w:themeTint="66"/>
        <w:bottom w:val="single" w:sz="4" w:space="0" w:color="E59EDC" w:themeColor="accent5" w:themeTint="66"/>
        <w:right w:val="single" w:sz="4" w:space="0" w:color="E59EDC" w:themeColor="accent5" w:themeTint="66"/>
        <w:insideH w:val="single" w:sz="4" w:space="0" w:color="E59EDC" w:themeColor="accent5" w:themeTint="66"/>
        <w:insideV w:val="single" w:sz="4" w:space="0" w:color="E59EDC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D86DC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86DC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Odstavecseseznamem1">
    <w:name w:val="Odstavec se seznamem1"/>
    <w:basedOn w:val="Normln"/>
    <w:rsid w:val="00FD3B62"/>
    <w:pPr>
      <w:spacing w:after="200"/>
      <w:ind w:left="720"/>
      <w:contextualSpacing/>
      <w:jc w:val="left"/>
    </w:pPr>
    <w:rPr>
      <w:rFonts w:ascii="Calibri" w:eastAsia="Times New Roman" w:hAnsi="Calibri" w:cs="Times New Roman"/>
      <w:kern w:val="0"/>
      <w14:ligatures w14:val="none"/>
    </w:rPr>
  </w:style>
  <w:style w:type="paragraph" w:styleId="Revize">
    <w:name w:val="Revision"/>
    <w:hidden/>
    <w:uiPriority w:val="99"/>
    <w:semiHidden/>
    <w:rsid w:val="003A7B1B"/>
    <w:pPr>
      <w:spacing w:after="0" w:line="240" w:lineRule="auto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rel\Downloads\&#352;ablony\Intern&#237;%20sd&#283;len&#237;_2025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tailpopisu xmlns="f484d738-c854-495e-b05f-9c6abd669c16" xsi:nil="true"/>
    <_x0054_op10 xmlns="f484d738-c854-495e-b05f-9c6abd669c16">false</_x0054_op1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E894734057FF14FA7056ECF3FF05046" ma:contentTypeVersion="6" ma:contentTypeDescription="Vytvoří nový dokument" ma:contentTypeScope="" ma:versionID="060a580c50e8b296f9474228dae5b785">
  <xsd:schema xmlns:xsd="http://www.w3.org/2001/XMLSchema" xmlns:xs="http://www.w3.org/2001/XMLSchema" xmlns:p="http://schemas.microsoft.com/office/2006/metadata/properties" xmlns:ns2="f484d738-c854-495e-b05f-9c6abd669c16" targetNamespace="http://schemas.microsoft.com/office/2006/metadata/properties" ma:root="true" ma:fieldsID="b2ca2b016f6fe31dd366ef870f528c24" ns2:_="">
    <xsd:import namespace="f484d738-c854-495e-b05f-9c6abd669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_x0054_op10" minOccurs="0"/>
                <xsd:element ref="ns2:Detailpo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4d738-c854-495e-b05f-9c6abd669c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x0054_op10" ma:index="12" nillable="true" ma:displayName="Top 10" ma:default="0" ma:format="Dropdown" ma:internalName="_x0054_op10">
      <xsd:simpleType>
        <xsd:restriction base="dms:Boolean"/>
      </xsd:simpleType>
    </xsd:element>
    <xsd:element name="Detailpopisu" ma:index="13" nillable="true" ma:displayName="Detail popisu" ma:description="Zobrazuje např. číslo verze dokumentu" ma:format="Dropdown" ma:internalName="Detailpopis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6571B6-3926-4969-AAEE-B272784F28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3D658F-9452-4D1E-B96C-23FE4A2C5F0E}">
  <ds:schemaRefs>
    <ds:schemaRef ds:uri="http://schemas.microsoft.com/office/2006/metadata/properties"/>
    <ds:schemaRef ds:uri="http://schemas.microsoft.com/office/infopath/2007/PartnerControls"/>
    <ds:schemaRef ds:uri="f484d738-c854-495e-b05f-9c6abd669c16"/>
  </ds:schemaRefs>
</ds:datastoreItem>
</file>

<file path=customXml/itemProps3.xml><?xml version="1.0" encoding="utf-8"?>
<ds:datastoreItem xmlns:ds="http://schemas.openxmlformats.org/officeDocument/2006/customXml" ds:itemID="{A2113A1F-0243-494B-A0D0-3C82E8D4B7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84d738-c854-495e-b05f-9c6abd669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35D8FB-5317-4187-88F4-D4711A7010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sdělení_2025.dotx</Template>
  <TotalTime>25</TotalTime>
  <Pages>2</Pages>
  <Words>700</Words>
  <Characters>4133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Vorel Jan</dc:creator>
  <cp:keywords/>
  <dc:description/>
  <cp:lastModifiedBy>Aleš Palucha</cp:lastModifiedBy>
  <cp:revision>8</cp:revision>
  <cp:lastPrinted>2025-02-25T12:21:00Z</cp:lastPrinted>
  <dcterms:created xsi:type="dcterms:W3CDTF">2025-09-18T16:09:00Z</dcterms:created>
  <dcterms:modified xsi:type="dcterms:W3CDTF">2025-09-19T07:30:00Z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J">
    <vt:lpwstr>XXX-XXX-XXX</vt:lpwstr>
  </property>
  <property fmtid="{D5CDD505-2E9C-101B-9397-08002B2CF9AE}" pid="3" name="ContentTypeId">
    <vt:lpwstr>0x0101004E894734057FF14FA7056ECF3FF05046</vt:lpwstr>
  </property>
</Properties>
</file>